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18" w:rsidRPr="00B94670" w:rsidRDefault="00507D18" w:rsidP="00507D18">
      <w:pPr>
        <w:pStyle w:val="Corpodetexto"/>
        <w:spacing w:before="74"/>
        <w:ind w:left="120" w:firstLine="2995"/>
        <w:rPr>
          <w:b/>
        </w:rPr>
      </w:pPr>
      <w:r w:rsidRPr="00B94670">
        <w:rPr>
          <w:b/>
        </w:rPr>
        <w:t>JULGAMENTO</w:t>
      </w:r>
      <w:r w:rsidRPr="00B94670">
        <w:rPr>
          <w:b/>
          <w:spacing w:val="29"/>
        </w:rPr>
        <w:t xml:space="preserve"> </w:t>
      </w:r>
      <w:r w:rsidRPr="00B94670">
        <w:rPr>
          <w:b/>
        </w:rPr>
        <w:t>DE</w:t>
      </w:r>
      <w:r w:rsidRPr="00B94670">
        <w:rPr>
          <w:b/>
          <w:spacing w:val="-2"/>
        </w:rPr>
        <w:t xml:space="preserve"> </w:t>
      </w:r>
      <w:r w:rsidRPr="00B94670">
        <w:rPr>
          <w:b/>
          <w:spacing w:val="-18"/>
        </w:rPr>
        <w:t>I</w:t>
      </w:r>
      <w:r w:rsidRPr="00B94670">
        <w:rPr>
          <w:b/>
        </w:rPr>
        <w:t>MPUGNAÇÃO</w:t>
      </w:r>
    </w:p>
    <w:p w:rsidR="00507D18" w:rsidRDefault="00507D18" w:rsidP="00507D18">
      <w:pPr>
        <w:spacing w:before="7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</w:p>
    <w:p w:rsidR="00507D18" w:rsidRPr="00543B4C" w:rsidRDefault="00507D18" w:rsidP="001725A2">
      <w:pPr>
        <w:pStyle w:val="Corpodetexto"/>
        <w:tabs>
          <w:tab w:val="left" w:pos="8222"/>
        </w:tabs>
        <w:ind w:left="120"/>
        <w:jc w:val="both"/>
      </w:pPr>
      <w:r w:rsidRPr="00543B4C">
        <w:t>REF.:</w:t>
      </w:r>
      <w:r w:rsidRPr="00543B4C">
        <w:rPr>
          <w:spacing w:val="-9"/>
        </w:rPr>
        <w:t xml:space="preserve"> </w:t>
      </w:r>
      <w:r w:rsidRPr="00543B4C">
        <w:t>AVISO DE SELEÇÃO F-ARTES - N.º 02/2020</w:t>
      </w:r>
    </w:p>
    <w:p w:rsidR="00507D18" w:rsidRPr="00543B4C" w:rsidRDefault="00507D18" w:rsidP="001725A2">
      <w:pPr>
        <w:pStyle w:val="Corpodetexto"/>
        <w:tabs>
          <w:tab w:val="left" w:pos="8222"/>
        </w:tabs>
        <w:spacing w:before="7" w:line="227" w:lineRule="exact"/>
        <w:ind w:left="120"/>
        <w:jc w:val="both"/>
      </w:pPr>
      <w:r w:rsidRPr="00543B4C">
        <w:t>Processo</w:t>
      </w:r>
      <w:r>
        <w:t>:</w:t>
      </w:r>
      <w:r>
        <w:rPr>
          <w:spacing w:val="-15"/>
        </w:rPr>
        <w:t xml:space="preserve"> </w:t>
      </w:r>
      <w:r>
        <w:t>12/800.172/2020.</w:t>
      </w:r>
    </w:p>
    <w:p w:rsidR="00507D18" w:rsidRDefault="00507D18" w:rsidP="001725A2">
      <w:pPr>
        <w:pStyle w:val="Corpodetexto"/>
        <w:tabs>
          <w:tab w:val="left" w:pos="2380"/>
          <w:tab w:val="left" w:pos="8222"/>
        </w:tabs>
        <w:spacing w:line="247" w:lineRule="auto"/>
        <w:ind w:left="112"/>
        <w:jc w:val="both"/>
      </w:pPr>
      <w:r w:rsidRPr="00543B4C">
        <w:t>Objeto</w:t>
      </w:r>
      <w:r>
        <w:t xml:space="preserve">: </w:t>
      </w:r>
      <w:r>
        <w:rPr>
          <w:spacing w:val="13"/>
        </w:rPr>
        <w:t xml:space="preserve"> </w:t>
      </w:r>
      <w:r>
        <w:t xml:space="preserve">PERMISSÃO DE USO, dos </w:t>
      </w:r>
      <w:r w:rsidRPr="00543B4C">
        <w:t>espaços denominados “Bistrô” e “Cafeteria da Grande Sala” localizados no Complexo Cidade das Artes</w:t>
      </w:r>
      <w:r>
        <w:t>.</w:t>
      </w:r>
    </w:p>
    <w:p w:rsidR="00507D18" w:rsidRDefault="00507D18" w:rsidP="001725A2">
      <w:pPr>
        <w:pStyle w:val="Corpodetexto"/>
        <w:tabs>
          <w:tab w:val="left" w:pos="8222"/>
        </w:tabs>
        <w:spacing w:line="216" w:lineRule="exact"/>
        <w:ind w:left="120"/>
        <w:jc w:val="both"/>
      </w:pPr>
      <w:r>
        <w:t>Prazo: 60 (sessenta) meses.</w:t>
      </w:r>
    </w:p>
    <w:p w:rsidR="00507D18" w:rsidRDefault="00507D18" w:rsidP="001725A2">
      <w:pPr>
        <w:pStyle w:val="Corpodetexto"/>
        <w:tabs>
          <w:tab w:val="left" w:pos="8364"/>
        </w:tabs>
        <w:spacing w:before="7"/>
        <w:ind w:left="105"/>
        <w:jc w:val="both"/>
      </w:pPr>
      <w:r>
        <w:t>Valor</w:t>
      </w:r>
      <w:r>
        <w:rPr>
          <w:spacing w:val="-5"/>
        </w:rPr>
        <w:t xml:space="preserve"> </w:t>
      </w:r>
      <w:r>
        <w:t>mínimo</w:t>
      </w:r>
      <w:r>
        <w:rPr>
          <w:spacing w:val="-16"/>
        </w:rPr>
        <w:t xml:space="preserve"> </w:t>
      </w:r>
      <w:r>
        <w:t xml:space="preserve">mensal: </w:t>
      </w:r>
      <w:r w:rsidRPr="00507D18">
        <w:t>R$ 4.275,12 (quatro mil, duzentos e setenta e cinco reais e doze</w:t>
      </w:r>
      <w:r>
        <w:t xml:space="preserve"> c</w:t>
      </w:r>
      <w:r w:rsidRPr="00507D18">
        <w:t>entavos)</w:t>
      </w:r>
      <w:r>
        <w:t>.</w:t>
      </w:r>
    </w:p>
    <w:p w:rsidR="00507D18" w:rsidRDefault="00507D18" w:rsidP="00507D18">
      <w:pPr>
        <w:pStyle w:val="Corpodetexto"/>
        <w:tabs>
          <w:tab w:val="left" w:pos="8222"/>
        </w:tabs>
        <w:spacing w:before="7"/>
        <w:ind w:left="105"/>
      </w:pPr>
    </w:p>
    <w:p w:rsidR="00507D18" w:rsidRDefault="00507D18" w:rsidP="00507D18">
      <w:pPr>
        <w:pStyle w:val="Corpodetexto"/>
        <w:tabs>
          <w:tab w:val="left" w:pos="8222"/>
        </w:tabs>
        <w:spacing w:line="359" w:lineRule="auto"/>
        <w:ind w:left="120" w:firstLine="705"/>
        <w:jc w:val="both"/>
      </w:pPr>
      <w:r w:rsidRPr="00507D18">
        <w:t xml:space="preserve">Cuida-se </w:t>
      </w:r>
      <w:r>
        <w:t>de</w:t>
      </w:r>
      <w:r w:rsidRPr="00507D18">
        <w:t xml:space="preserve"> </w:t>
      </w:r>
      <w:r>
        <w:t>resposta</w:t>
      </w:r>
      <w:r w:rsidRPr="00507D18">
        <w:t xml:space="preserve"> à </w:t>
      </w:r>
      <w:r>
        <w:t>impugnação</w:t>
      </w:r>
      <w:r w:rsidRPr="00507D18">
        <w:t xml:space="preserve"> </w:t>
      </w:r>
      <w:r>
        <w:t>apresentada</w:t>
      </w:r>
      <w:r w:rsidRPr="00507D18">
        <w:t xml:space="preserve"> </w:t>
      </w:r>
      <w:r>
        <w:t>pela empresa</w:t>
      </w:r>
      <w:r w:rsidRPr="00507D18">
        <w:t xml:space="preserve"> </w:t>
      </w:r>
      <w:r>
        <w:t>DIVINO CAFÉ LANCHONETE LTDA protocolizada</w:t>
      </w:r>
      <w:r w:rsidRPr="00507D18">
        <w:t xml:space="preserve"> </w:t>
      </w:r>
      <w:r>
        <w:t>em</w:t>
      </w:r>
      <w:r w:rsidRPr="00507D18">
        <w:t xml:space="preserve"> </w:t>
      </w:r>
      <w:r>
        <w:t>07/10/2020.</w:t>
      </w:r>
    </w:p>
    <w:p w:rsidR="00507D18" w:rsidRDefault="00507D18" w:rsidP="00507D18">
      <w:pPr>
        <w:rPr>
          <w:rFonts w:ascii="Arial" w:eastAsia="Arial" w:hAnsi="Arial" w:cs="Arial"/>
          <w:sz w:val="20"/>
          <w:szCs w:val="20"/>
        </w:rPr>
      </w:pPr>
    </w:p>
    <w:p w:rsidR="00507D18" w:rsidRDefault="00507D18" w:rsidP="00507D18">
      <w:pPr>
        <w:pStyle w:val="Corpodetexto"/>
        <w:spacing w:before="120" w:line="359" w:lineRule="auto"/>
        <w:ind w:left="112" w:right="-1" w:firstLine="720"/>
        <w:jc w:val="both"/>
      </w:pPr>
      <w:r>
        <w:t>Da</w:t>
      </w:r>
      <w:r w:rsidRPr="00507D18">
        <w:t xml:space="preserve"> </w:t>
      </w:r>
      <w:r>
        <w:t>atenta</w:t>
      </w:r>
      <w:r w:rsidRPr="00507D18">
        <w:t xml:space="preserve"> </w:t>
      </w:r>
      <w:r>
        <w:t>leitura</w:t>
      </w:r>
      <w:r w:rsidRPr="00507D18">
        <w:t xml:space="preserve"> à i</w:t>
      </w:r>
      <w:r>
        <w:t>mpugnação,</w:t>
      </w:r>
      <w:r w:rsidRPr="00507D18">
        <w:t xml:space="preserve"> </w:t>
      </w:r>
      <w:r>
        <w:t>depreende-se</w:t>
      </w:r>
      <w:r w:rsidRPr="00507D18">
        <w:t xml:space="preserve"> </w:t>
      </w:r>
      <w:r>
        <w:t>que</w:t>
      </w:r>
      <w:r w:rsidRPr="00507D18">
        <w:t xml:space="preserve"> </w:t>
      </w:r>
      <w:r>
        <w:t>a</w:t>
      </w:r>
      <w:r w:rsidRPr="00507D18">
        <w:t xml:space="preserve"> </w:t>
      </w:r>
      <w:r>
        <w:t>impugnante</w:t>
      </w:r>
      <w:r w:rsidRPr="00507D18">
        <w:t xml:space="preserve"> </w:t>
      </w:r>
      <w:r>
        <w:t>reputa</w:t>
      </w:r>
      <w:r w:rsidRPr="00507D18">
        <w:t xml:space="preserve"> </w:t>
      </w:r>
      <w:r>
        <w:t>estar</w:t>
      </w:r>
      <w:r w:rsidRPr="00507D18">
        <w:t xml:space="preserve"> </w:t>
      </w:r>
      <w:r>
        <w:t>o</w:t>
      </w:r>
      <w:r w:rsidRPr="00507D18">
        <w:t xml:space="preserve"> </w:t>
      </w:r>
      <w:r>
        <w:t>Edital</w:t>
      </w:r>
      <w:r w:rsidRPr="00507D18">
        <w:t xml:space="preserve"> </w:t>
      </w:r>
      <w:r>
        <w:t>eivado</w:t>
      </w:r>
      <w:r w:rsidRPr="00507D18">
        <w:t xml:space="preserve"> </w:t>
      </w:r>
      <w:r>
        <w:t>de</w:t>
      </w:r>
      <w:r w:rsidRPr="00507D18">
        <w:t xml:space="preserve"> </w:t>
      </w:r>
      <w:r>
        <w:t>irregularidades,</w:t>
      </w:r>
      <w:r w:rsidRPr="00507D18">
        <w:t xml:space="preserve"> </w:t>
      </w:r>
      <w:r>
        <w:t>motivo</w:t>
      </w:r>
      <w:r w:rsidRPr="00507D18">
        <w:t xml:space="preserve"> </w:t>
      </w:r>
      <w:r>
        <w:t>pelo</w:t>
      </w:r>
      <w:r w:rsidRPr="00507D18">
        <w:t xml:space="preserve"> </w:t>
      </w:r>
      <w:r>
        <w:t>qual</w:t>
      </w:r>
      <w:r w:rsidRPr="00507D18">
        <w:t xml:space="preserve"> </w:t>
      </w:r>
      <w:r>
        <w:t>postula</w:t>
      </w:r>
      <w:r w:rsidRPr="00507D18">
        <w:t xml:space="preserve"> </w:t>
      </w:r>
      <w:r>
        <w:t>pela</w:t>
      </w:r>
      <w:r w:rsidRPr="00507D18">
        <w:t xml:space="preserve"> </w:t>
      </w:r>
      <w:r>
        <w:t>alteração</w:t>
      </w:r>
      <w:r w:rsidRPr="00507D18">
        <w:t xml:space="preserve"> </w:t>
      </w:r>
      <w:r>
        <w:t>e</w:t>
      </w:r>
      <w:r w:rsidRPr="00507D18">
        <w:t xml:space="preserve"> </w:t>
      </w:r>
      <w:r>
        <w:t>republicação</w:t>
      </w:r>
      <w:r w:rsidRPr="00507D18">
        <w:t xml:space="preserve"> </w:t>
      </w:r>
      <w:r>
        <w:t>do</w:t>
      </w:r>
      <w:r w:rsidRPr="00507D18">
        <w:t xml:space="preserve"> </w:t>
      </w:r>
      <w:r>
        <w:t>mesmo.</w:t>
      </w:r>
    </w:p>
    <w:p w:rsidR="00507D18" w:rsidRDefault="00507D18" w:rsidP="00507D18">
      <w:pPr>
        <w:rPr>
          <w:rFonts w:ascii="Arial" w:eastAsia="Arial" w:hAnsi="Arial" w:cs="Arial"/>
          <w:sz w:val="20"/>
          <w:szCs w:val="20"/>
        </w:rPr>
      </w:pPr>
    </w:p>
    <w:p w:rsidR="00507D18" w:rsidRDefault="00507D18" w:rsidP="00507D18">
      <w:pPr>
        <w:pStyle w:val="Corpodetexto"/>
        <w:spacing w:before="170"/>
        <w:ind w:left="120"/>
      </w:pPr>
      <w:r>
        <w:t>DA</w:t>
      </w:r>
      <w:r>
        <w:rPr>
          <w:spacing w:val="-36"/>
        </w:rPr>
        <w:t xml:space="preserve"> </w:t>
      </w:r>
      <w:r>
        <w:t>TEMPESTIVIDADE:</w:t>
      </w:r>
    </w:p>
    <w:p w:rsidR="00507D18" w:rsidRDefault="00507D18" w:rsidP="00507D18">
      <w:pPr>
        <w:spacing w:before="7"/>
        <w:rPr>
          <w:rFonts w:ascii="Arial" w:eastAsia="Arial" w:hAnsi="Arial" w:cs="Arial"/>
          <w:sz w:val="27"/>
          <w:szCs w:val="27"/>
        </w:rPr>
      </w:pPr>
    </w:p>
    <w:p w:rsidR="00507D18" w:rsidRDefault="00507D18" w:rsidP="00507D18">
      <w:pPr>
        <w:pStyle w:val="Corpodetexto"/>
        <w:spacing w:line="368" w:lineRule="auto"/>
        <w:ind w:left="112" w:firstLine="705"/>
        <w:jc w:val="both"/>
      </w:pPr>
      <w:r>
        <w:t>A</w:t>
      </w:r>
      <w:r>
        <w:rPr>
          <w:spacing w:val="49"/>
        </w:rPr>
        <w:t xml:space="preserve"> </w:t>
      </w:r>
      <w:r>
        <w:rPr>
          <w:spacing w:val="-18"/>
        </w:rPr>
        <w:t>i</w:t>
      </w:r>
      <w:r>
        <w:t>mpugnação</w:t>
      </w:r>
      <w:r>
        <w:rPr>
          <w:spacing w:val="6"/>
        </w:rPr>
        <w:t xml:space="preserve"> </w:t>
      </w:r>
      <w:r>
        <w:t>encontra-se</w:t>
      </w:r>
      <w:r>
        <w:rPr>
          <w:spacing w:val="13"/>
        </w:rPr>
        <w:t xml:space="preserve"> </w:t>
      </w:r>
      <w:r>
        <w:t>tempestiva,</w:t>
      </w:r>
      <w:r>
        <w:rPr>
          <w:spacing w:val="12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art.  4</w:t>
      </w:r>
      <w:r>
        <w:rPr>
          <w:spacing w:val="5"/>
        </w:rPr>
        <w:t>1</w:t>
      </w:r>
      <w:r>
        <w:t>,</w:t>
      </w:r>
      <w:r>
        <w:rPr>
          <w:spacing w:val="36"/>
        </w:rPr>
        <w:t xml:space="preserve"> </w:t>
      </w:r>
      <w:r>
        <w:t>§2°,</w:t>
      </w:r>
      <w:r>
        <w:rPr>
          <w:spacing w:val="55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Lei</w:t>
      </w:r>
      <w:r>
        <w:rPr>
          <w:w w:val="98"/>
        </w:rPr>
        <w:t xml:space="preserve"> </w:t>
      </w:r>
      <w:r>
        <w:t>8.666/93.</w:t>
      </w:r>
    </w:p>
    <w:p w:rsidR="00507D18" w:rsidRDefault="00507D18" w:rsidP="00507D18">
      <w:pPr>
        <w:pStyle w:val="Corpodetexto"/>
        <w:spacing w:before="7"/>
        <w:ind w:left="105"/>
      </w:pPr>
    </w:p>
    <w:p w:rsidR="00507D18" w:rsidRPr="002E62D0" w:rsidRDefault="00507D18" w:rsidP="00507D18">
      <w:pPr>
        <w:pStyle w:val="Corpodetexto"/>
        <w:numPr>
          <w:ilvl w:val="0"/>
          <w:numId w:val="2"/>
        </w:numPr>
        <w:spacing w:before="7"/>
        <w:rPr>
          <w:b/>
        </w:rPr>
      </w:pPr>
      <w:r w:rsidRPr="002E62D0">
        <w:rPr>
          <w:b/>
        </w:rPr>
        <w:t>A INCOMPATIBILIDADE ENTRE A FIXAÇÃO DE PRAZO PARA USO DO BEM PÚBLICO E O ESTABELECIMENTO DE PRECARIEDADE</w:t>
      </w:r>
    </w:p>
    <w:p w:rsidR="00507D18" w:rsidRDefault="00507D18" w:rsidP="00507D18">
      <w:pPr>
        <w:pStyle w:val="Corpodetexto"/>
        <w:spacing w:before="7"/>
        <w:ind w:left="825"/>
      </w:pPr>
    </w:p>
    <w:p w:rsidR="00507D18" w:rsidRDefault="00507D18" w:rsidP="00507D18">
      <w:pPr>
        <w:pStyle w:val="Corpodetexto"/>
        <w:spacing w:before="120" w:line="359" w:lineRule="auto"/>
        <w:ind w:left="112" w:right="-1" w:firstLine="720"/>
        <w:jc w:val="both"/>
      </w:pPr>
      <w:r w:rsidRPr="00507D18">
        <w:t>O impugnante alega que</w:t>
      </w:r>
      <w:r>
        <w:t xml:space="preserve"> há</w:t>
      </w:r>
      <w:r w:rsidRPr="00507D18">
        <w:t xml:space="preserve"> antinomia entre as disposições contidas nos itens 3.3 e 4.1 do Aviso de Seleção em questão. Isso porque, não há sentido fático, econômico ou jurídico em estabelecer que o contrato a ser celebrado com o licitante vencedor seja extenso – sessenta meses – e, ao mesmo tempo, possa ser resilido unilateralmente pela entidade licitante.</w:t>
      </w:r>
      <w:r w:rsidR="003B2013">
        <w:t xml:space="preserve"> Logo não traz a</w:t>
      </w:r>
      <w:r w:rsidR="003B2013">
        <w:t>o parceiro privado SEGURANÇA JURÍDICA para desempenhar as suas funções</w:t>
      </w:r>
      <w:r w:rsidR="003B2013">
        <w:t>.</w:t>
      </w:r>
    </w:p>
    <w:p w:rsidR="00073F06" w:rsidRDefault="00073F06" w:rsidP="00073F06">
      <w:pPr>
        <w:pStyle w:val="Corpodetexto"/>
        <w:spacing w:before="120" w:line="359" w:lineRule="auto"/>
        <w:ind w:left="112" w:right="-1" w:firstLine="720"/>
        <w:jc w:val="both"/>
        <w:rPr>
          <w:rFonts w:cs="Arial"/>
          <w:color w:val="000000"/>
          <w:shd w:val="clear" w:color="auto" w:fill="FFFFFF"/>
        </w:rPr>
      </w:pPr>
      <w:r>
        <w:t>Frisa-se, inicialmente, que o Poder Público</w:t>
      </w:r>
      <w:r w:rsidR="000010E3">
        <w:t>, pela Lei nº 8.666/93,</w:t>
      </w:r>
      <w:r>
        <w:t xml:space="preserve"> tem</w:t>
      </w:r>
      <w:r w:rsidR="000010E3">
        <w:t xml:space="preserve"> a</w:t>
      </w:r>
      <w:r>
        <w:t xml:space="preserve"> prerrogativa de rescindir unilateralmente qualquer instrumento público desde que</w:t>
      </w:r>
      <w:r w:rsidR="000010E3">
        <w:t xml:space="preserve"> </w:t>
      </w:r>
      <w:r>
        <w:rPr>
          <w:rFonts w:cs="Arial"/>
          <w:color w:val="000000"/>
          <w:shd w:val="clear" w:color="auto" w:fill="FFFFFF"/>
        </w:rPr>
        <w:t>justificadas e determinadas pela autoridade da esfera administrativa a que</w:t>
      </w:r>
      <w:r w:rsidR="000010E3">
        <w:rPr>
          <w:rFonts w:cs="Arial"/>
          <w:color w:val="000000"/>
          <w:shd w:val="clear" w:color="auto" w:fill="FFFFFF"/>
        </w:rPr>
        <w:t xml:space="preserve"> está subordinado o contratante. Essa prerrogativa se estende com mais </w:t>
      </w:r>
      <w:r w:rsidR="000010E3" w:rsidRPr="000010E3">
        <w:rPr>
          <w:rFonts w:cs="Arial"/>
          <w:color w:val="000000"/>
          <w:shd w:val="clear" w:color="auto" w:fill="FFFFFF"/>
        </w:rPr>
        <w:t>veemência</w:t>
      </w:r>
      <w:r w:rsidR="000010E3">
        <w:rPr>
          <w:rFonts w:cs="Arial"/>
          <w:color w:val="000000"/>
          <w:shd w:val="clear" w:color="auto" w:fill="FFFFFF"/>
        </w:rPr>
        <w:t xml:space="preserve"> nas permissões de uso, </w:t>
      </w:r>
      <w:r w:rsidR="00F1516D">
        <w:rPr>
          <w:rFonts w:cs="Arial"/>
          <w:color w:val="000000"/>
          <w:shd w:val="clear" w:color="auto" w:fill="FFFFFF"/>
        </w:rPr>
        <w:t>visto que</w:t>
      </w:r>
      <w:r w:rsidR="000010E3">
        <w:rPr>
          <w:rFonts w:cs="Arial"/>
          <w:color w:val="000000"/>
          <w:shd w:val="clear" w:color="auto" w:fill="FFFFFF"/>
        </w:rPr>
        <w:t xml:space="preserve"> a Lei </w:t>
      </w:r>
      <w:hyperlink r:id="rId8" w:history="1">
        <w:r w:rsidR="000010E3">
          <w:rPr>
            <w:color w:val="000000"/>
          </w:rPr>
          <w:t>n</w:t>
        </w:r>
        <w:r w:rsidR="000010E3" w:rsidRPr="000010E3">
          <w:rPr>
            <w:color w:val="000000"/>
          </w:rPr>
          <w:t>º 8.987</w:t>
        </w:r>
        <w:r w:rsidR="000010E3">
          <w:rPr>
            <w:color w:val="000000"/>
          </w:rPr>
          <w:t>/95</w:t>
        </w:r>
        <w:r w:rsidR="006F6BC1">
          <w:rPr>
            <w:color w:val="000000"/>
          </w:rPr>
          <w:t xml:space="preserve"> trouxe o título de </w:t>
        </w:r>
        <w:r w:rsidR="000010E3">
          <w:rPr>
            <w:color w:val="000000"/>
          </w:rPr>
          <w:t xml:space="preserve">precariedade </w:t>
        </w:r>
        <w:r w:rsidR="00B92352">
          <w:rPr>
            <w:color w:val="000000"/>
          </w:rPr>
          <w:t>ao</w:t>
        </w:r>
        <w:r w:rsidR="000010E3">
          <w:rPr>
            <w:color w:val="000000"/>
          </w:rPr>
          <w:t xml:space="preserve"> instrumento</w:t>
        </w:r>
        <w:r w:rsidR="00F1516D">
          <w:rPr>
            <w:color w:val="000000"/>
          </w:rPr>
          <w:t xml:space="preserve"> em questão</w:t>
        </w:r>
        <w:r w:rsidR="005C3643">
          <w:rPr>
            <w:color w:val="000000"/>
          </w:rPr>
          <w:t xml:space="preserve">. </w:t>
        </w:r>
        <w:r w:rsidR="00B92352">
          <w:rPr>
            <w:color w:val="000000"/>
          </w:rPr>
          <w:t xml:space="preserve">Ou seja, </w:t>
        </w:r>
        <w:r w:rsidR="006F6BC1">
          <w:rPr>
            <w:color w:val="000000"/>
          </w:rPr>
          <w:t>em</w:t>
        </w:r>
        <w:r w:rsidR="005C3643">
          <w:rPr>
            <w:color w:val="000000"/>
          </w:rPr>
          <w:t xml:space="preserve"> qualquer contratação</w:t>
        </w:r>
        <w:r w:rsidR="00F1516D">
          <w:rPr>
            <w:color w:val="000000"/>
          </w:rPr>
          <w:t xml:space="preserve"> firmad</w:t>
        </w:r>
        <w:r w:rsidR="005C3643">
          <w:rPr>
            <w:color w:val="000000"/>
          </w:rPr>
          <w:t>a</w:t>
        </w:r>
        <w:r w:rsidR="00F1516D">
          <w:rPr>
            <w:color w:val="000000"/>
          </w:rPr>
          <w:t xml:space="preserve"> com a Administração Pública</w:t>
        </w:r>
        <w:r w:rsidR="000010E3">
          <w:rPr>
            <w:color w:val="000000"/>
          </w:rPr>
          <w:t xml:space="preserve"> haverá riscos de </w:t>
        </w:r>
        <w:r w:rsidR="00A1375B">
          <w:rPr>
            <w:color w:val="000000"/>
          </w:rPr>
          <w:t>rescisão</w:t>
        </w:r>
        <w:r w:rsidR="000010E3">
          <w:rPr>
            <w:color w:val="000000"/>
          </w:rPr>
          <w:t xml:space="preserve"> unilateral</w:t>
        </w:r>
        <w:r w:rsidR="000010E3" w:rsidRPr="000010E3">
          <w:rPr>
            <w:color w:val="000000"/>
          </w:rPr>
          <w:t>.</w:t>
        </w:r>
      </w:hyperlink>
    </w:p>
    <w:p w:rsidR="00A50B95" w:rsidRPr="002E62D0" w:rsidRDefault="00A50B95" w:rsidP="00A50B95">
      <w:pPr>
        <w:pStyle w:val="Corpodetexto"/>
        <w:spacing w:before="120" w:line="359" w:lineRule="auto"/>
        <w:ind w:left="112" w:right="-1" w:firstLine="720"/>
        <w:jc w:val="both"/>
        <w:rPr>
          <w:rFonts w:cs="Arial"/>
          <w:color w:val="000000"/>
          <w:shd w:val="clear" w:color="auto" w:fill="FFFFFF"/>
        </w:rPr>
      </w:pPr>
      <w:r w:rsidRPr="002E62D0">
        <w:rPr>
          <w:rFonts w:cs="Arial"/>
          <w:color w:val="000000"/>
          <w:shd w:val="clear" w:color="auto" w:fill="FFFFFF"/>
        </w:rPr>
        <w:t xml:space="preserve">No que tange a insegurança jurídica exposta pelo impugnante, vale destacar que foi fixado o prazo de prazo de vigência de 60 (sessenta) meses </w:t>
      </w:r>
      <w:r w:rsidR="00760F3F" w:rsidRPr="002E62D0">
        <w:rPr>
          <w:rFonts w:cs="Arial"/>
          <w:color w:val="000000"/>
          <w:shd w:val="clear" w:color="auto" w:fill="FFFFFF"/>
        </w:rPr>
        <w:t xml:space="preserve">acrescido </w:t>
      </w:r>
      <w:r w:rsidRPr="002E62D0">
        <w:rPr>
          <w:rFonts w:cs="Arial"/>
          <w:color w:val="000000"/>
          <w:shd w:val="clear" w:color="auto" w:fill="FFFFFF"/>
        </w:rPr>
        <w:t>ao direto a indenização proporcional pelo período vincendo da ocupação do imóvel caso haja uma rescisão unilateral sem qualquer culpa do Permissionário, conforme item 6.1, o que traz uma natureza contratual a permissão de uso, conforme Maria Sylvia Zanella di Pietro:</w:t>
      </w:r>
    </w:p>
    <w:p w:rsidR="00B92352" w:rsidRPr="002E62D0" w:rsidRDefault="00A50B95" w:rsidP="00A50B95">
      <w:pPr>
        <w:pStyle w:val="Corpodetexto"/>
        <w:spacing w:before="120" w:line="359" w:lineRule="auto"/>
        <w:ind w:left="112" w:right="-1" w:firstLine="720"/>
        <w:jc w:val="both"/>
        <w:rPr>
          <w:rFonts w:cs="Arial"/>
          <w:i/>
          <w:color w:val="000000"/>
          <w:shd w:val="clear" w:color="auto" w:fill="FFFFFF"/>
        </w:rPr>
      </w:pPr>
      <w:r w:rsidRPr="002E62D0">
        <w:rPr>
          <w:rFonts w:cs="Arial"/>
          <w:i/>
          <w:color w:val="000000"/>
          <w:shd w:val="clear" w:color="auto" w:fill="FFFFFF"/>
        </w:rPr>
        <w:t>“</w:t>
      </w:r>
      <w:r w:rsidR="00B92352" w:rsidRPr="002E62D0">
        <w:rPr>
          <w:rFonts w:cs="Arial"/>
          <w:i/>
          <w:color w:val="000000"/>
          <w:shd w:val="clear" w:color="auto" w:fill="FFFFFF"/>
        </w:rPr>
        <w:t xml:space="preserve">Para que a "permissão de uso" tenha natureza contratual, sujeita a licitação, é necessário que a mesma tenha prazo estabelecido, gerando para o particular o direito de </w:t>
      </w:r>
      <w:r w:rsidR="00B92352" w:rsidRPr="002E62D0">
        <w:rPr>
          <w:rFonts w:cs="Arial"/>
          <w:i/>
          <w:color w:val="000000"/>
          <w:shd w:val="clear" w:color="auto" w:fill="FFFFFF"/>
        </w:rPr>
        <w:lastRenderedPageBreak/>
        <w:t xml:space="preserve">receber indenização em caso de </w:t>
      </w:r>
      <w:r w:rsidR="007761C9" w:rsidRPr="002E62D0">
        <w:rPr>
          <w:rFonts w:cs="Arial"/>
          <w:i/>
          <w:color w:val="000000"/>
          <w:shd w:val="clear" w:color="auto" w:fill="FFFFFF"/>
        </w:rPr>
        <w:t>revogação. ”</w:t>
      </w:r>
    </w:p>
    <w:p w:rsidR="00A50B95" w:rsidRPr="00B94670" w:rsidRDefault="00A50B95" w:rsidP="00A50B95">
      <w:pPr>
        <w:pStyle w:val="Corpodetexto"/>
        <w:spacing w:before="120" w:line="359" w:lineRule="auto"/>
        <w:ind w:right="-1"/>
        <w:jc w:val="both"/>
        <w:rPr>
          <w:rFonts w:ascii="Helvetica" w:hAnsi="Helvetica" w:cs="Helvetica"/>
          <w:shd w:val="clear" w:color="auto" w:fill="FFFFFF"/>
        </w:rPr>
      </w:pPr>
      <w:r w:rsidRPr="00B94670">
        <w:rPr>
          <w:rFonts w:ascii="Helvetica" w:hAnsi="Helvetica" w:cs="Helvetica"/>
          <w:shd w:val="clear" w:color="auto" w:fill="FFFFFF"/>
        </w:rPr>
        <w:t>A indenização</w:t>
      </w:r>
      <w:r w:rsidR="003B2013" w:rsidRPr="00B94670">
        <w:rPr>
          <w:rFonts w:ascii="Helvetica" w:hAnsi="Helvetica" w:cs="Helvetica"/>
          <w:shd w:val="clear" w:color="auto" w:fill="FFFFFF"/>
        </w:rPr>
        <w:t xml:space="preserve"> por razão</w:t>
      </w:r>
      <w:r w:rsidRPr="00B94670">
        <w:rPr>
          <w:rFonts w:ascii="Helvetica" w:hAnsi="Helvetica" w:cs="Helvetica"/>
          <w:shd w:val="clear" w:color="auto" w:fill="FFFFFF"/>
        </w:rPr>
        <w:t xml:space="preserve"> citada </w:t>
      </w:r>
      <w:r w:rsidR="007761C9" w:rsidRPr="00B94670">
        <w:rPr>
          <w:rFonts w:ascii="Helvetica" w:hAnsi="Helvetica" w:cs="Helvetica"/>
          <w:shd w:val="clear" w:color="auto" w:fill="FFFFFF"/>
        </w:rPr>
        <w:t>acima obedecerá as legislações vigentes</w:t>
      </w:r>
      <w:r w:rsidR="003B2013" w:rsidRPr="00B94670">
        <w:rPr>
          <w:rFonts w:ascii="Helvetica" w:hAnsi="Helvetica" w:cs="Helvetica"/>
          <w:shd w:val="clear" w:color="auto" w:fill="FFFFFF"/>
        </w:rPr>
        <w:t xml:space="preserve">, dentre elas o </w:t>
      </w:r>
      <w:r w:rsidR="003B2013" w:rsidRPr="00B94670">
        <w:rPr>
          <w:rFonts w:cs="Arial"/>
          <w:shd w:val="clear" w:color="auto" w:fill="FFFFFF"/>
        </w:rPr>
        <w:t>§ 2</w:t>
      </w:r>
      <w:r w:rsidR="003B2013" w:rsidRPr="00B94670">
        <w:rPr>
          <w:rFonts w:cs="Arial"/>
          <w:u w:val="single"/>
          <w:shd w:val="clear" w:color="auto" w:fill="FFFFFF"/>
          <w:vertAlign w:val="superscript"/>
        </w:rPr>
        <w:t>o</w:t>
      </w:r>
      <w:r w:rsidR="003B2013" w:rsidRPr="00B94670">
        <w:rPr>
          <w:rFonts w:ascii="Helvetica" w:hAnsi="Helvetica" w:cs="Helvetica"/>
          <w:shd w:val="clear" w:color="auto" w:fill="FFFFFF"/>
        </w:rPr>
        <w:t xml:space="preserve">  do art. 79, da Lei 8.666/93 e as normas gerais de contabilidade para amortização de bens ativos.</w:t>
      </w:r>
    </w:p>
    <w:p w:rsidR="007761C9" w:rsidRDefault="007761C9" w:rsidP="00A50B95">
      <w:pPr>
        <w:pStyle w:val="Corpodetexto"/>
        <w:spacing w:before="120" w:line="359" w:lineRule="auto"/>
        <w:ind w:right="-1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7761C9" w:rsidRPr="003B2013" w:rsidRDefault="007761C9" w:rsidP="007761C9">
      <w:pPr>
        <w:pStyle w:val="Corpodetexto"/>
        <w:numPr>
          <w:ilvl w:val="0"/>
          <w:numId w:val="2"/>
        </w:numPr>
        <w:spacing w:before="120" w:line="359" w:lineRule="auto"/>
        <w:ind w:right="-1"/>
        <w:jc w:val="both"/>
        <w:rPr>
          <w:b/>
        </w:rPr>
      </w:pPr>
      <w:r w:rsidRPr="003B2013">
        <w:rPr>
          <w:b/>
        </w:rPr>
        <w:t>A ADEQUAÇÃO DA HIPÓTESE EM QUESTÃO À MINUTA-PADRÃO DA PROCURADORIA GERAL DO MUNICÍPIO REFERENTE À CONCESSÃO DE USO DE BEM PÚBLICO</w:t>
      </w:r>
    </w:p>
    <w:p w:rsidR="003B2013" w:rsidRDefault="00E37EC9" w:rsidP="003B2013">
      <w:pPr>
        <w:pStyle w:val="Corpodetexto"/>
        <w:spacing w:before="120" w:line="359" w:lineRule="auto"/>
        <w:ind w:left="825" w:right="-1"/>
        <w:jc w:val="both"/>
      </w:pPr>
      <w:r>
        <w:t>A fim de garantir uma</w:t>
      </w:r>
      <w:r>
        <w:t xml:space="preserve"> segurança jurídica para o parceiro privado,</w:t>
      </w:r>
      <w:r>
        <w:t xml:space="preserve"> o impugnante pondera que</w:t>
      </w:r>
      <w:r>
        <w:t xml:space="preserve"> o Aviso de Seleção deveria ser adequado à minuta</w:t>
      </w:r>
      <w:r>
        <w:t xml:space="preserve"> </w:t>
      </w:r>
      <w:r>
        <w:t>padrão da Procuradoria Geral do Município referente à CONCESSÃO de uso de bem público, com as devidas adaptações ao objeto licitado</w:t>
      </w:r>
      <w:r>
        <w:t>.</w:t>
      </w:r>
    </w:p>
    <w:p w:rsidR="00E37EC9" w:rsidRDefault="00E37EC9" w:rsidP="003B2013">
      <w:pPr>
        <w:pStyle w:val="Corpodetexto"/>
        <w:spacing w:before="120" w:line="359" w:lineRule="auto"/>
        <w:ind w:left="825" w:right="-1"/>
        <w:jc w:val="both"/>
      </w:pPr>
      <w:r>
        <w:t xml:space="preserve">Pois bem, </w:t>
      </w:r>
      <w:r w:rsidR="00DF0268">
        <w:t xml:space="preserve">a </w:t>
      </w:r>
      <w:r w:rsidR="00DF0268">
        <w:t>LEI ORGÂNICA DO MUNICÍPIO DO RIO DE JANEIRO</w:t>
      </w:r>
      <w:r w:rsidR="00DF0268">
        <w:t xml:space="preserve"> estabelece situações taxativas para a concessão de uso, conforme artigo abaixo:</w:t>
      </w:r>
    </w:p>
    <w:p w:rsidR="00DF0268" w:rsidRPr="00DF0268" w:rsidRDefault="00DF0268" w:rsidP="00DF0268">
      <w:pPr>
        <w:pStyle w:val="Corpodetexto"/>
        <w:spacing w:before="120" w:line="359" w:lineRule="auto"/>
        <w:ind w:left="2410" w:right="-1"/>
        <w:jc w:val="both"/>
        <w:rPr>
          <w:i/>
        </w:rPr>
      </w:pPr>
      <w:r w:rsidRPr="00DF0268">
        <w:rPr>
          <w:i/>
        </w:rPr>
        <w:t>Art. 239 - Admitir-se-á o uso de bens imóveis do Município por terceiros, mediante concessão, cessão</w:t>
      </w:r>
      <w:r w:rsidRPr="00DF0268">
        <w:rPr>
          <w:i/>
        </w:rPr>
        <w:t xml:space="preserve"> ou permissão, na forma da lei;</w:t>
      </w:r>
    </w:p>
    <w:p w:rsidR="00DF0268" w:rsidRDefault="00DF0268" w:rsidP="00DF0268">
      <w:pPr>
        <w:pStyle w:val="Corpodetexto"/>
        <w:spacing w:before="120" w:line="359" w:lineRule="auto"/>
        <w:ind w:left="2410" w:right="-1"/>
        <w:jc w:val="both"/>
        <w:rPr>
          <w:i/>
        </w:rPr>
      </w:pPr>
      <w:r w:rsidRPr="00DF0268">
        <w:rPr>
          <w:i/>
        </w:rPr>
        <w:t xml:space="preserve">§ 1º - A concessão de uso terá caráter de direito real resolúvel que será outorgada após concorrência mediante remuneração ou imposição de encargos por tempo </w:t>
      </w:r>
      <w:r w:rsidRPr="00DF0268">
        <w:rPr>
          <w:i/>
        </w:rPr>
        <w:t>certo ou indeterminado, para fi</w:t>
      </w:r>
      <w:r w:rsidRPr="00DF0268">
        <w:rPr>
          <w:i/>
        </w:rPr>
        <w:t xml:space="preserve">ns específicos de urbanização, industrialização, </w:t>
      </w:r>
      <w:r w:rsidR="00E26F31" w:rsidRPr="00DF0268">
        <w:rPr>
          <w:i/>
        </w:rPr>
        <w:t>edificação</w:t>
      </w:r>
      <w:r w:rsidRPr="00DF0268">
        <w:rPr>
          <w:i/>
        </w:rPr>
        <w:t>, cultivo da terra ou outra utilização de interesse social, devendo o contrato ou termo ser levado ao registro imobiliário competente.</w:t>
      </w:r>
    </w:p>
    <w:p w:rsidR="00E26F31" w:rsidRPr="00E26F31" w:rsidRDefault="00E26F31" w:rsidP="00DF0268">
      <w:pPr>
        <w:pStyle w:val="Corpodetexto"/>
        <w:spacing w:before="120" w:line="359" w:lineRule="auto"/>
        <w:ind w:left="2410" w:right="-1"/>
        <w:jc w:val="both"/>
        <w:rPr>
          <w:i/>
        </w:rPr>
      </w:pPr>
      <w:r w:rsidRPr="00E26F31">
        <w:rPr>
          <w:i/>
        </w:rPr>
        <w:t xml:space="preserve">Art. 240 - É facultada ao Poder Executivo: </w:t>
      </w:r>
    </w:p>
    <w:p w:rsidR="00E26F31" w:rsidRPr="00E26F31" w:rsidRDefault="00E26F31" w:rsidP="00DF0268">
      <w:pPr>
        <w:pStyle w:val="Corpodetexto"/>
        <w:spacing w:before="120" w:line="359" w:lineRule="auto"/>
        <w:ind w:left="2410" w:right="-1"/>
        <w:jc w:val="both"/>
        <w:rPr>
          <w:i/>
        </w:rPr>
      </w:pPr>
      <w:r w:rsidRPr="00E26F31">
        <w:rPr>
          <w:i/>
        </w:rPr>
        <w:t>I -</w:t>
      </w:r>
      <w:r w:rsidR="009D77CF">
        <w:rPr>
          <w:i/>
        </w:rPr>
        <w:t>.........................................................................................................</w:t>
      </w:r>
    </w:p>
    <w:p w:rsidR="00E26F31" w:rsidRPr="00E26F31" w:rsidRDefault="00E26F31" w:rsidP="00DF0268">
      <w:pPr>
        <w:pStyle w:val="Corpodetexto"/>
        <w:spacing w:before="120" w:line="359" w:lineRule="auto"/>
        <w:ind w:left="2410" w:right="-1"/>
        <w:jc w:val="both"/>
        <w:rPr>
          <w:i/>
        </w:rPr>
      </w:pPr>
      <w:r w:rsidRPr="00E26F31">
        <w:rPr>
          <w:i/>
        </w:rPr>
        <w:t>II - a permissão de uso de imóvel municipal, a título precário, revogável a qualquer tempo, vedada a prorrogação por mais de uma vez, gratuitamente ou mediante remuneração ou imposição de encargos, para o fim de exploração lucrativa de serviços de utilidade pública em área de dependência predeterminada e sob condições prefixadas.</w:t>
      </w:r>
    </w:p>
    <w:p w:rsidR="009D77CF" w:rsidRDefault="00747FE3" w:rsidP="00B94670">
      <w:pPr>
        <w:pStyle w:val="Corpodetexto"/>
        <w:spacing w:before="120" w:line="359" w:lineRule="auto"/>
        <w:ind w:left="0" w:right="-1"/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 xml:space="preserve">Ou seja, </w:t>
      </w:r>
      <w:r w:rsidR="009D77CF">
        <w:rPr>
          <w:rFonts w:ascii="Helvetica" w:hAnsi="Helvetica" w:cs="Helvetica"/>
          <w:color w:val="333333"/>
          <w:shd w:val="clear" w:color="auto" w:fill="FFFFFF"/>
        </w:rPr>
        <w:t xml:space="preserve">de acordo com </w:t>
      </w:r>
      <w:r w:rsidR="009D77CF">
        <w:t xml:space="preserve">lei orgânica do município do Rio de Janeiro no aviso de seleção atual </w:t>
      </w:r>
      <w:r w:rsidR="009D77CF">
        <w:rPr>
          <w:rFonts w:ascii="Helvetica" w:hAnsi="Helvetica" w:cs="Helvetica"/>
          <w:color w:val="333333"/>
          <w:shd w:val="clear" w:color="auto" w:fill="FFFFFF"/>
        </w:rPr>
        <w:t>não há</w:t>
      </w:r>
      <w:r>
        <w:rPr>
          <w:rFonts w:ascii="Helvetica" w:hAnsi="Helvetica" w:cs="Helvetica"/>
          <w:color w:val="333333"/>
          <w:shd w:val="clear" w:color="auto" w:fill="FFFFFF"/>
        </w:rPr>
        <w:t xml:space="preserve"> hipótese para </w:t>
      </w:r>
      <w:r>
        <w:t>adoção d</w:t>
      </w:r>
      <w:r w:rsidR="009D77CF">
        <w:t>e</w:t>
      </w:r>
      <w:r>
        <w:t xml:space="preserve"> concessão de uso de bem público</w:t>
      </w:r>
      <w:r w:rsidR="009D77CF">
        <w:t>.</w:t>
      </w:r>
    </w:p>
    <w:p w:rsidR="00B94670" w:rsidRDefault="00B94670" w:rsidP="00B94670">
      <w:pPr>
        <w:pStyle w:val="Corpodetexto"/>
        <w:spacing w:before="120" w:line="359" w:lineRule="auto"/>
        <w:ind w:left="0" w:right="-1"/>
        <w:jc w:val="both"/>
      </w:pPr>
    </w:p>
    <w:p w:rsidR="00B94670" w:rsidRDefault="00B94670" w:rsidP="00B94670">
      <w:pPr>
        <w:pStyle w:val="Corpodetexto"/>
        <w:spacing w:before="120" w:line="359" w:lineRule="auto"/>
        <w:ind w:left="0" w:right="-1"/>
        <w:jc w:val="both"/>
      </w:pPr>
    </w:p>
    <w:p w:rsidR="00B94670" w:rsidRDefault="00B94670" w:rsidP="00B94670">
      <w:pPr>
        <w:pStyle w:val="Corpodetexto"/>
        <w:spacing w:before="120" w:line="359" w:lineRule="auto"/>
        <w:ind w:left="0" w:right="-1"/>
        <w:jc w:val="both"/>
      </w:pPr>
    </w:p>
    <w:p w:rsidR="00DB7579" w:rsidRPr="002E62D0" w:rsidRDefault="00DB7579" w:rsidP="00DB7579">
      <w:pPr>
        <w:pStyle w:val="Corpodetexto"/>
        <w:numPr>
          <w:ilvl w:val="0"/>
          <w:numId w:val="2"/>
        </w:numPr>
        <w:spacing w:before="120" w:line="359" w:lineRule="auto"/>
        <w:ind w:right="-1"/>
        <w:jc w:val="both"/>
        <w:rPr>
          <w:rFonts w:ascii="Helvetica" w:hAnsi="Helvetica" w:cs="Helvetica"/>
          <w:b/>
          <w:color w:val="333333"/>
          <w:shd w:val="clear" w:color="auto" w:fill="FFFFFF"/>
        </w:rPr>
      </w:pPr>
      <w:r w:rsidRPr="002E62D0">
        <w:rPr>
          <w:b/>
        </w:rPr>
        <w:t>A INEXISTÊNCIA DE PREVISÃO EDITALÍCIA CLARA ACERCA DA PERIODICIDADE DO PAGAMENTO DA OUTORGA MENSAL</w:t>
      </w:r>
    </w:p>
    <w:p w:rsidR="00DB7579" w:rsidRDefault="00DB7579" w:rsidP="002E62D0">
      <w:pPr>
        <w:pStyle w:val="Corpodetexto"/>
        <w:spacing w:before="120" w:line="359" w:lineRule="auto"/>
        <w:ind w:left="825" w:right="-1"/>
        <w:jc w:val="both"/>
      </w:pPr>
      <w:r>
        <w:t>Neste</w:t>
      </w:r>
      <w:r w:rsidRPr="002E62D0">
        <w:t xml:space="preserve"> </w:t>
      </w:r>
      <w:r>
        <w:t>item</w:t>
      </w:r>
      <w:r w:rsidRPr="002E62D0">
        <w:t xml:space="preserve"> </w:t>
      </w:r>
      <w:r>
        <w:t>a</w:t>
      </w:r>
      <w:r w:rsidRPr="002E62D0">
        <w:t xml:space="preserve"> i</w:t>
      </w:r>
      <w:r>
        <w:t>mpugnante</w:t>
      </w:r>
      <w:r w:rsidRPr="002E62D0">
        <w:t xml:space="preserve"> </w:t>
      </w:r>
      <w:r>
        <w:t>a</w:t>
      </w:r>
      <w:r w:rsidRPr="002E62D0">
        <w:t>l</w:t>
      </w:r>
      <w:r>
        <w:t>ega</w:t>
      </w:r>
      <w:r w:rsidRPr="002E62D0">
        <w:t xml:space="preserve"> </w:t>
      </w:r>
      <w:r>
        <w:t xml:space="preserve">preocupação porque não há menção à PERIODICIDADE dos pagamentos da outorga, </w:t>
      </w:r>
      <w:r w:rsidR="00B67B0F">
        <w:t>porém o</w:t>
      </w:r>
      <w:r w:rsidR="00B67B0F" w:rsidRPr="002E62D0">
        <w:t xml:space="preserve"> </w:t>
      </w:r>
      <w:r w:rsidR="00B67B0F">
        <w:t>Edital</w:t>
      </w:r>
      <w:r w:rsidR="00B67B0F" w:rsidRPr="00B67B0F">
        <w:t xml:space="preserve"> </w:t>
      </w:r>
      <w:r w:rsidR="00B67B0F">
        <w:t>no próprio item, no subitem 5.5,</w:t>
      </w:r>
      <w:r w:rsidR="00B67B0F" w:rsidRPr="002E62D0">
        <w:t xml:space="preserve"> </w:t>
      </w:r>
      <w:r w:rsidR="00B67B0F">
        <w:t>e</w:t>
      </w:r>
      <w:r w:rsidR="00B67B0F" w:rsidRPr="002E62D0">
        <w:t xml:space="preserve"> </w:t>
      </w:r>
      <w:r w:rsidR="00B67B0F">
        <w:t>todos</w:t>
      </w:r>
      <w:r w:rsidR="00B67B0F" w:rsidRPr="002E62D0">
        <w:t xml:space="preserve"> </w:t>
      </w:r>
      <w:r w:rsidR="00B67B0F">
        <w:t>os</w:t>
      </w:r>
      <w:r w:rsidR="00B67B0F" w:rsidRPr="002E62D0">
        <w:t xml:space="preserve"> </w:t>
      </w:r>
      <w:r w:rsidR="00B67B0F">
        <w:t>seus</w:t>
      </w:r>
      <w:r w:rsidR="00B67B0F" w:rsidRPr="002E62D0">
        <w:t xml:space="preserve"> </w:t>
      </w:r>
      <w:r w:rsidR="00B67B0F">
        <w:t>anexos</w:t>
      </w:r>
      <w:r w:rsidR="00B67B0F" w:rsidRPr="002E62D0">
        <w:t xml:space="preserve"> </w:t>
      </w:r>
      <w:r w:rsidR="00B67B0F">
        <w:t>são</w:t>
      </w:r>
      <w:r w:rsidR="00B67B0F" w:rsidRPr="002E62D0">
        <w:t xml:space="preserve"> </w:t>
      </w:r>
      <w:r w:rsidR="00B67B0F">
        <w:t>explícitos ao estabelecer</w:t>
      </w:r>
      <w:r>
        <w:t xml:space="preserve"> que a remuneração é </w:t>
      </w:r>
      <w:r w:rsidR="002E62D0">
        <w:t>mensal, restando</w:t>
      </w:r>
      <w:r>
        <w:t xml:space="preserve"> claro </w:t>
      </w:r>
      <w:r w:rsidR="00B67B0F">
        <w:t>a</w:t>
      </w:r>
      <w:r>
        <w:t xml:space="preserve"> periodicidade da remuneração.</w:t>
      </w:r>
    </w:p>
    <w:p w:rsidR="002E62D0" w:rsidRDefault="002E62D0" w:rsidP="00DB7579">
      <w:pPr>
        <w:pStyle w:val="Corpodetexto"/>
        <w:spacing w:line="364" w:lineRule="auto"/>
        <w:ind w:firstLine="720"/>
        <w:jc w:val="both"/>
      </w:pPr>
    </w:p>
    <w:p w:rsidR="00DB7579" w:rsidRDefault="00DB7579" w:rsidP="00DB7579">
      <w:pPr>
        <w:pStyle w:val="Corpodetexto"/>
        <w:numPr>
          <w:ilvl w:val="0"/>
          <w:numId w:val="2"/>
        </w:numPr>
        <w:spacing w:before="120" w:line="359" w:lineRule="auto"/>
        <w:ind w:right="-1"/>
        <w:jc w:val="both"/>
        <w:rPr>
          <w:b/>
        </w:rPr>
      </w:pPr>
      <w:r w:rsidRPr="00DB7579">
        <w:rPr>
          <w:b/>
        </w:rPr>
        <w:t>A ILEGALIDADE DO CRITÉRIO DE “REVISÃO” DO VALOR DA OUTORGA</w:t>
      </w:r>
    </w:p>
    <w:p w:rsidR="00DB7579" w:rsidRDefault="00DB7579" w:rsidP="00DB7579">
      <w:pPr>
        <w:pStyle w:val="Corpodetexto"/>
        <w:spacing w:before="120" w:line="359" w:lineRule="auto"/>
        <w:ind w:left="825" w:right="-1"/>
        <w:jc w:val="both"/>
      </w:pPr>
      <w:r w:rsidRPr="00DB7579">
        <w:t xml:space="preserve">A impugnante alega </w:t>
      </w:r>
      <w:r>
        <w:t>previsão ilegal haja vista que não representa hipótese de revisão ou reajuste validamente concebidos</w:t>
      </w:r>
      <w:r w:rsidR="00867534">
        <w:t xml:space="preserve"> a previsão</w:t>
      </w:r>
      <w:r>
        <w:t xml:space="preserve"> de adequação a “valores de mercado”</w:t>
      </w:r>
      <w:r w:rsidR="00867534">
        <w:t xml:space="preserve"> a qual</w:t>
      </w:r>
      <w:r>
        <w:t xml:space="preserve"> não significa nem reajuste nem tampouco revisão.</w:t>
      </w:r>
    </w:p>
    <w:p w:rsidR="008741CA" w:rsidRDefault="00F02460" w:rsidP="008741CA">
      <w:pPr>
        <w:pStyle w:val="Corpodetexto"/>
        <w:spacing w:before="120" w:line="359" w:lineRule="auto"/>
        <w:ind w:left="825" w:right="-1"/>
        <w:jc w:val="both"/>
      </w:pPr>
      <w:r>
        <w:t>Primeiramente, e</w:t>
      </w:r>
      <w:r w:rsidR="008741CA">
        <w:t xml:space="preserve">sclareço que o instrumento convocatório utilizado para a realização do </w:t>
      </w:r>
      <w:r w:rsidR="008741CA">
        <w:t>Aviso de Seleção F-Artes nº 02/2020</w:t>
      </w:r>
      <w:r w:rsidR="008741CA">
        <w:t xml:space="preserve"> foi </w:t>
      </w:r>
      <w:r w:rsidR="002C5094">
        <w:t xml:space="preserve">instituído através do </w:t>
      </w:r>
      <w:r w:rsidR="002C5094" w:rsidRPr="00B94670">
        <w:rPr>
          <w:bCs/>
        </w:rPr>
        <w:t xml:space="preserve">DECRETO </w:t>
      </w:r>
      <w:r w:rsidR="00867534" w:rsidRPr="00B94670">
        <w:rPr>
          <w:bCs/>
        </w:rPr>
        <w:t>–</w:t>
      </w:r>
      <w:r w:rsidR="002C5094" w:rsidRPr="00B94670">
        <w:rPr>
          <w:bCs/>
        </w:rPr>
        <w:t xml:space="preserve"> 41</w:t>
      </w:r>
      <w:r w:rsidR="00867534" w:rsidRPr="00B94670">
        <w:rPr>
          <w:bCs/>
        </w:rPr>
        <w:t>.</w:t>
      </w:r>
      <w:r w:rsidR="002C5094" w:rsidRPr="00B94670">
        <w:rPr>
          <w:bCs/>
        </w:rPr>
        <w:t>082 de 10/12/2015 e suas alterações</w:t>
      </w:r>
      <w:r w:rsidR="002C5094">
        <w:rPr>
          <w:b/>
          <w:bCs/>
        </w:rPr>
        <w:t xml:space="preserve"> </w:t>
      </w:r>
      <w:r w:rsidR="002C5094" w:rsidRPr="002C5094">
        <w:rPr>
          <w:bCs/>
        </w:rPr>
        <w:t>o qual</w:t>
      </w:r>
      <w:r w:rsidR="008741CA">
        <w:t xml:space="preserve"> aprova as</w:t>
      </w:r>
      <w:r w:rsidR="002C5094">
        <w:t xml:space="preserve"> </w:t>
      </w:r>
      <w:r w:rsidR="008741CA">
        <w:t>minutas-padrão utilizadas p</w:t>
      </w:r>
      <w:r w:rsidR="002C5094">
        <w:t xml:space="preserve">ara qualquer aviso de seleção e de </w:t>
      </w:r>
      <w:r w:rsidR="002C5094">
        <w:t xml:space="preserve">observância obrigatória por toda a Administração Municipal Direta e Indireta. </w:t>
      </w:r>
    </w:p>
    <w:p w:rsidR="00572505" w:rsidRPr="00572505" w:rsidRDefault="00572505" w:rsidP="00DB7579">
      <w:pPr>
        <w:pStyle w:val="Corpodetexto"/>
        <w:spacing w:before="120" w:line="359" w:lineRule="auto"/>
        <w:ind w:left="825" w:right="-1"/>
        <w:jc w:val="both"/>
      </w:pPr>
      <w:r w:rsidRPr="00572505">
        <w:t>Ainda convém lembrar, que</w:t>
      </w:r>
      <w:r w:rsidR="00867534" w:rsidRPr="00572505">
        <w:t xml:space="preserve"> a remuneração</w:t>
      </w:r>
      <w:r w:rsidRPr="00572505">
        <w:t xml:space="preserve"> </w:t>
      </w:r>
      <w:r w:rsidR="009D77CF">
        <w:t>m</w:t>
      </w:r>
      <w:r w:rsidRPr="00572505">
        <w:t xml:space="preserve">ensal é dada por uma avaliação </w:t>
      </w:r>
      <w:r w:rsidR="009D77CF">
        <w:t>realizada</w:t>
      </w:r>
      <w:r w:rsidR="009D77CF" w:rsidRPr="00572505">
        <w:t xml:space="preserve"> pela Superintendência de Patrimônio da Secretaria Municipal de Fazenda</w:t>
      </w:r>
      <w:r w:rsidR="009D77CF" w:rsidRPr="00572505">
        <w:t xml:space="preserve"> </w:t>
      </w:r>
      <w:r w:rsidRPr="00572505">
        <w:t>que levará em conta a natureza comercial do imóvel</w:t>
      </w:r>
      <w:r w:rsidR="00867534" w:rsidRPr="00572505">
        <w:t>,</w:t>
      </w:r>
      <w:r w:rsidRPr="00572505">
        <w:t xml:space="preserve"> de acordo com </w:t>
      </w:r>
      <w:r w:rsidRPr="00572505">
        <w:t xml:space="preserve">DECRETO - 25369 - 11/5/2005 </w:t>
      </w:r>
      <w:r w:rsidRPr="00572505">
        <w:t xml:space="preserve">que alterou o Anexo I </w:t>
      </w:r>
      <w:r w:rsidR="00867534" w:rsidRPr="00572505">
        <w:t>DECRETO - 22780 - 4/4/2003</w:t>
      </w:r>
      <w:r w:rsidRPr="00572505">
        <w:t>.</w:t>
      </w:r>
    </w:p>
    <w:p w:rsidR="0037139A" w:rsidRDefault="00CB095B" w:rsidP="00073CF4">
      <w:pPr>
        <w:pStyle w:val="Corpodetexto"/>
        <w:spacing w:before="120" w:line="359" w:lineRule="auto"/>
        <w:ind w:left="825" w:right="-1"/>
        <w:jc w:val="both"/>
      </w:pPr>
      <w:r>
        <w:t>Frisa-se que</w:t>
      </w:r>
      <w:r w:rsidR="00F02460">
        <w:t>,</w:t>
      </w:r>
      <w:r>
        <w:t xml:space="preserve"> </w:t>
      </w:r>
      <w:r w:rsidR="00F02460">
        <w:t>além d</w:t>
      </w:r>
      <w:r>
        <w:t xml:space="preserve">o reajuste anual </w:t>
      </w:r>
      <w:r w:rsidR="00712304">
        <w:t>o qual</w:t>
      </w:r>
      <w:r w:rsidR="00F02460">
        <w:t xml:space="preserve"> está</w:t>
      </w:r>
      <w:r>
        <w:t xml:space="preserve"> especificado na cláusula quinta do contrato e tem </w:t>
      </w:r>
      <w:r w:rsidR="00F02460">
        <w:t xml:space="preserve">índices previamente fixados, </w:t>
      </w:r>
      <w:r w:rsidR="00712304">
        <w:t xml:space="preserve">a adequação da remuneração “ao valor de mercado” constitui sim uma </w:t>
      </w:r>
      <w:r w:rsidR="00F02460">
        <w:t xml:space="preserve">hipótese </w:t>
      </w:r>
      <w:r w:rsidR="00712304">
        <w:t xml:space="preserve">de revisão contratual, diferentemente do que define o impugnante. </w:t>
      </w:r>
    </w:p>
    <w:p w:rsidR="0037139A" w:rsidRDefault="0037139A" w:rsidP="0037139A">
      <w:pPr>
        <w:pStyle w:val="Corpodetexto"/>
        <w:spacing w:before="120" w:line="359" w:lineRule="auto"/>
        <w:ind w:left="825" w:right="-1"/>
        <w:jc w:val="both"/>
      </w:pPr>
      <w:r w:rsidRPr="00F02460">
        <w:t>A Revisão</w:t>
      </w:r>
      <w:r w:rsidR="00070ED5">
        <w:t>,</w:t>
      </w:r>
      <w:r w:rsidR="00070ED5" w:rsidRPr="00070ED5">
        <w:t xml:space="preserve"> </w:t>
      </w:r>
      <w:r w:rsidR="00070ED5">
        <w:t>conforme previsto no art. 65, II, d da Lei 8.666/</w:t>
      </w:r>
      <w:r w:rsidR="00070ED5">
        <w:t xml:space="preserve">93, </w:t>
      </w:r>
      <w:r w:rsidR="00070ED5" w:rsidRPr="00F02460">
        <w:t>pode</w:t>
      </w:r>
      <w:r w:rsidRPr="00F02460">
        <w:t xml:space="preserve"> ser buscada quando ocorrerem fatos </w:t>
      </w:r>
      <w:r w:rsidRPr="00070ED5">
        <w:rPr>
          <w:bCs/>
        </w:rPr>
        <w:t>posteriores à contratação</w:t>
      </w:r>
      <w:r w:rsidRPr="00F02460">
        <w:rPr>
          <w:b/>
          <w:bCs/>
        </w:rPr>
        <w:t> </w:t>
      </w:r>
      <w:r w:rsidRPr="00F02460">
        <w:t>que sejam imprevisíveis ou previsíveis</w:t>
      </w:r>
      <w:r w:rsidR="00EB7BA8">
        <w:t xml:space="preserve"> de consequências incalculáveis,</w:t>
      </w:r>
      <w:r w:rsidRPr="00F02460">
        <w:t xml:space="preserve"> que representem um caso fortuito</w:t>
      </w:r>
      <w:r w:rsidR="00EB7BA8">
        <w:t>,</w:t>
      </w:r>
      <w:r>
        <w:t xml:space="preserve"> de força maior </w:t>
      </w:r>
      <w:r w:rsidRPr="00F02460">
        <w:t>ou p</w:t>
      </w:r>
      <w:r w:rsidR="00AE252C">
        <w:t xml:space="preserve">or conta de um fato do príncipe. </w:t>
      </w:r>
    </w:p>
    <w:p w:rsidR="00AE252C" w:rsidRPr="00F02460" w:rsidRDefault="00AE252C" w:rsidP="00AE252C">
      <w:pPr>
        <w:pStyle w:val="Corpodetexto"/>
        <w:spacing w:before="120" w:line="359" w:lineRule="auto"/>
        <w:ind w:left="825" w:right="-1"/>
        <w:jc w:val="both"/>
      </w:pPr>
      <w:r w:rsidRPr="00F02460">
        <w:t>É importante lembrar que a manutenção do equilíbrio econômico-financeiro do contrato, em qualquer de suas modalidades, não protege apenas o particular. É também um direito da Administração que pode vir a pagar um valor menor</w:t>
      </w:r>
      <w:r>
        <w:t xml:space="preserve"> ou receber uma remuneração maior </w:t>
      </w:r>
      <w:r w:rsidRPr="00F02460">
        <w:t>do que aquele acertado na licitação.</w:t>
      </w:r>
    </w:p>
    <w:p w:rsidR="00EB7BA8" w:rsidRDefault="00EB7BA8" w:rsidP="00073CF4">
      <w:pPr>
        <w:pStyle w:val="Corpodetexto"/>
        <w:spacing w:before="120" w:line="359" w:lineRule="auto"/>
        <w:ind w:left="825" w:right="-1"/>
        <w:jc w:val="both"/>
      </w:pPr>
      <w:r>
        <w:t>Ademais</w:t>
      </w:r>
      <w:r w:rsidR="00AE252C">
        <w:t xml:space="preserve">, levando em consideração </w:t>
      </w:r>
      <w:r>
        <w:t xml:space="preserve">a situação </w:t>
      </w:r>
      <w:r>
        <w:t>d</w:t>
      </w:r>
      <w:r w:rsidR="00AE252C">
        <w:t>o</w:t>
      </w:r>
      <w:r w:rsidR="00AE252C">
        <w:rPr>
          <w:rFonts w:cs="Arial"/>
          <w:color w:val="000000"/>
          <w:shd w:val="clear" w:color="auto" w:fill="FFFFFF"/>
        </w:rPr>
        <w:t xml:space="preserve"> atual cenário que vimos enfrentando ao longo deste ano</w:t>
      </w:r>
      <w:r w:rsidR="00AE252C">
        <w:rPr>
          <w:rFonts w:cs="Arial"/>
          <w:color w:val="000000"/>
          <w:shd w:val="clear" w:color="auto" w:fill="FFFFFF"/>
        </w:rPr>
        <w:t xml:space="preserve"> por conta da pandemia, </w:t>
      </w:r>
      <w:r>
        <w:rPr>
          <w:rFonts w:cs="Arial"/>
          <w:color w:val="000000"/>
          <w:shd w:val="clear" w:color="auto" w:fill="FFFFFF"/>
        </w:rPr>
        <w:t>em</w:t>
      </w:r>
      <w:r w:rsidR="00AE252C">
        <w:rPr>
          <w:rFonts w:cs="Arial"/>
          <w:color w:val="000000"/>
          <w:shd w:val="clear" w:color="auto" w:fill="FFFFFF"/>
        </w:rPr>
        <w:t xml:space="preserve"> que des</w:t>
      </w:r>
      <w:r w:rsidR="00AE252C">
        <w:rPr>
          <w:rFonts w:cs="Arial"/>
          <w:color w:val="000000"/>
          <w:shd w:val="clear" w:color="auto" w:fill="FFFFFF"/>
        </w:rPr>
        <w:t>valoriz</w:t>
      </w:r>
      <w:r w:rsidR="00AE252C">
        <w:rPr>
          <w:rFonts w:cs="Arial"/>
          <w:color w:val="000000"/>
          <w:shd w:val="clear" w:color="auto" w:fill="FFFFFF"/>
        </w:rPr>
        <w:t>ou</w:t>
      </w:r>
      <w:r w:rsidR="00AE252C">
        <w:rPr>
          <w:rFonts w:cs="Arial"/>
          <w:color w:val="000000"/>
          <w:shd w:val="clear" w:color="auto" w:fill="FFFFFF"/>
        </w:rPr>
        <w:t xml:space="preserve"> drasticamente</w:t>
      </w:r>
      <w:r w:rsidR="00AE252C">
        <w:rPr>
          <w:rFonts w:cs="Arial"/>
          <w:color w:val="000000"/>
          <w:shd w:val="clear" w:color="auto" w:fill="FFFFFF"/>
        </w:rPr>
        <w:t xml:space="preserve"> o </w:t>
      </w:r>
      <w:r w:rsidR="00AE252C">
        <w:rPr>
          <w:rFonts w:cs="Arial"/>
          <w:color w:val="000000"/>
          <w:shd w:val="clear" w:color="auto" w:fill="FFFFFF"/>
        </w:rPr>
        <w:lastRenderedPageBreak/>
        <w:t>mercado de</w:t>
      </w:r>
      <w:r w:rsidR="00AE252C">
        <w:rPr>
          <w:rFonts w:cs="Arial"/>
          <w:color w:val="000000"/>
          <w:shd w:val="clear" w:color="auto" w:fill="FFFFFF"/>
        </w:rPr>
        <w:t xml:space="preserve"> imóveis</w:t>
      </w:r>
      <w:r>
        <w:rPr>
          <w:rFonts w:cs="Arial"/>
          <w:color w:val="000000"/>
          <w:shd w:val="clear" w:color="auto" w:fill="FFFFFF"/>
        </w:rPr>
        <w:t xml:space="preserve">, é primordial que haja </w:t>
      </w:r>
      <w:r w:rsidR="00AE252C">
        <w:t>ajuste</w:t>
      </w:r>
      <w:r>
        <w:t>s</w:t>
      </w:r>
      <w:r w:rsidR="00AE252C">
        <w:t xml:space="preserve"> </w:t>
      </w:r>
      <w:r>
        <w:t xml:space="preserve">da remuneração mensal a fim de </w:t>
      </w:r>
      <w:r w:rsidR="00070ED5">
        <w:t>refletir os valores de mercado posteriores</w:t>
      </w:r>
      <w:r w:rsidR="00142CE0">
        <w:t xml:space="preserve"> à crise</w:t>
      </w:r>
      <w:r w:rsidR="00070ED5">
        <w:t>, reestabelecendo, dessa forma, a equação</w:t>
      </w:r>
      <w:r>
        <w:t xml:space="preserve"> </w:t>
      </w:r>
      <w:r>
        <w:rPr>
          <w:rFonts w:cs="Arial"/>
          <w:color w:val="000000"/>
          <w:shd w:val="clear" w:color="auto" w:fill="FFFFFF"/>
        </w:rPr>
        <w:t>econômi</w:t>
      </w:r>
      <w:r w:rsidR="00070ED5">
        <w:rPr>
          <w:rFonts w:cs="Arial"/>
          <w:color w:val="000000"/>
          <w:shd w:val="clear" w:color="auto" w:fill="FFFFFF"/>
        </w:rPr>
        <w:t>co-financeiro inicial do Termo de Permissão de uso.</w:t>
      </w:r>
    </w:p>
    <w:p w:rsidR="00EB7BA8" w:rsidRDefault="00EB7BA8" w:rsidP="00073CF4">
      <w:pPr>
        <w:pStyle w:val="Corpodetexto"/>
        <w:spacing w:before="120" w:line="359" w:lineRule="auto"/>
        <w:ind w:left="825" w:right="-1"/>
        <w:jc w:val="both"/>
      </w:pPr>
    </w:p>
    <w:p w:rsidR="00CB095B" w:rsidRDefault="00CB095B" w:rsidP="00CB095B">
      <w:pPr>
        <w:pStyle w:val="Corpodetexto"/>
        <w:numPr>
          <w:ilvl w:val="0"/>
          <w:numId w:val="2"/>
        </w:numPr>
        <w:spacing w:before="120" w:line="359" w:lineRule="auto"/>
        <w:ind w:right="-1"/>
        <w:jc w:val="both"/>
        <w:rPr>
          <w:b/>
        </w:rPr>
      </w:pPr>
      <w:r w:rsidRPr="00CB095B">
        <w:rPr>
          <w:b/>
        </w:rPr>
        <w:t>A INEXISTÊNCIA DE PARÂMETROS CLAROS PARA O CÁLCULO DA INDENIZAÇÃO AO PARCEIRO PRIVADO EM CASO DE RESILIÇÃO UNILATERAL ANTERIOR AO TERMO FINAL DO PRAZO DA PERMISSÃO</w:t>
      </w:r>
      <w:r>
        <w:rPr>
          <w:b/>
        </w:rPr>
        <w:t>.</w:t>
      </w:r>
    </w:p>
    <w:p w:rsidR="002C5094" w:rsidRDefault="00CB095B" w:rsidP="002C5094">
      <w:pPr>
        <w:pStyle w:val="Corpodetexto"/>
        <w:spacing w:before="120" w:line="359" w:lineRule="auto"/>
        <w:ind w:left="825" w:right="-1"/>
        <w:jc w:val="both"/>
      </w:pPr>
      <w:r>
        <w:t>Como informado anteriormente,</w:t>
      </w:r>
      <w:r w:rsidR="001F3F81">
        <w:t xml:space="preserve"> a permissão de uso é precária e sem </w:t>
      </w:r>
      <w:r w:rsidR="002C5094">
        <w:t>qualquer direito a indenização, todavia</w:t>
      </w:r>
      <w:r w:rsidR="002C5094">
        <w:t xml:space="preserve">, para estabelecer uma maior segurança jurídica ao permissionário, </w:t>
      </w:r>
      <w:r w:rsidR="00073CF4">
        <w:t>foi estabelecido</w:t>
      </w:r>
      <w:r w:rsidR="002C5094">
        <w:t xml:space="preserve"> um</w:t>
      </w:r>
      <w:r w:rsidR="002C5094">
        <w:t>a</w:t>
      </w:r>
      <w:r w:rsidR="002C5094" w:rsidRPr="00CB095B">
        <w:t xml:space="preserve"> indenização </w:t>
      </w:r>
      <w:r w:rsidR="002C5094">
        <w:t xml:space="preserve">devida caso </w:t>
      </w:r>
      <w:r w:rsidR="002C5094">
        <w:t>haja</w:t>
      </w:r>
      <w:r w:rsidR="002C5094">
        <w:t xml:space="preserve"> uma rescisão unilateral em que o permissionário não tenha qualquer culpa</w:t>
      </w:r>
      <w:r w:rsidR="002C5094">
        <w:t>, p</w:t>
      </w:r>
      <w:r w:rsidR="002C5094">
        <w:t>orém essa indenização só será devida pelas benfeitorias que forem incorporadas ao imóvel.</w:t>
      </w:r>
    </w:p>
    <w:p w:rsidR="002C5094" w:rsidRDefault="002C5094" w:rsidP="002C5094">
      <w:pPr>
        <w:pStyle w:val="Corpodetexto"/>
        <w:spacing w:before="120" w:line="359" w:lineRule="auto"/>
        <w:ind w:left="825" w:right="-1"/>
        <w:jc w:val="both"/>
      </w:pPr>
      <w:r>
        <w:t xml:space="preserve">Vale destacar que ao contrário que o impugnante cita, os gastos com mobiliário, utensílios, pessoal, propaganda, dentre outros não são benfeitorias, esses são </w:t>
      </w:r>
      <w:r w:rsidR="003E3F8B">
        <w:t xml:space="preserve">elementos para </w:t>
      </w:r>
      <w:r>
        <w:t>implantação do negócio</w:t>
      </w:r>
      <w:r w:rsidR="003E3F8B">
        <w:t xml:space="preserve"> e</w:t>
      </w:r>
      <w:r>
        <w:t>, conforme</w:t>
      </w:r>
      <w:r w:rsidR="00073CF4">
        <w:t xml:space="preserve"> aponta o</w:t>
      </w:r>
      <w:r>
        <w:t xml:space="preserve"> item 13.12</w:t>
      </w:r>
      <w:r w:rsidR="003E3F8B">
        <w:t>,</w:t>
      </w:r>
      <w:r w:rsidR="00073CF4">
        <w:t xml:space="preserve"> </w:t>
      </w:r>
      <w:r>
        <w:t>são de total responsabilidade do Permissionário.</w:t>
      </w:r>
    </w:p>
    <w:p w:rsidR="002C5094" w:rsidRPr="00B67B0F" w:rsidRDefault="002C5094" w:rsidP="002C5094">
      <w:pPr>
        <w:pStyle w:val="Corpodetexto"/>
        <w:spacing w:before="120" w:line="359" w:lineRule="auto"/>
        <w:ind w:left="825" w:right="-1"/>
        <w:jc w:val="both"/>
        <w:rPr>
          <w:u w:val="single"/>
        </w:rPr>
      </w:pPr>
      <w:r w:rsidRPr="00B67B0F">
        <w:rPr>
          <w:u w:val="single"/>
        </w:rPr>
        <w:t>Definição de benfeitorias: reparo feito em coisas móveis ou imóveis com o fim de as conservar ou embelezar, melhorar as suas condições de fruição ou torná-las mais úteis.</w:t>
      </w:r>
    </w:p>
    <w:p w:rsidR="002C5094" w:rsidRDefault="002C5094" w:rsidP="002C5094">
      <w:pPr>
        <w:pStyle w:val="Corpodetexto"/>
        <w:spacing w:before="120" w:line="359" w:lineRule="auto"/>
        <w:ind w:left="825" w:right="-1"/>
        <w:jc w:val="both"/>
      </w:pPr>
      <w:r>
        <w:t>Quanto ao critério para cálculo da indenização, o item 6.1, deixa claro que será</w:t>
      </w:r>
      <w:r w:rsidR="0071522F">
        <w:t xml:space="preserve"> realizado</w:t>
      </w:r>
      <w:r>
        <w:t xml:space="preserve"> pelo valor não amortizado das</w:t>
      </w:r>
      <w:r w:rsidR="0071522F">
        <w:t xml:space="preserve"> </w:t>
      </w:r>
      <w:r>
        <w:t>benfeitorias</w:t>
      </w:r>
      <w:r w:rsidR="0071522F">
        <w:t xml:space="preserve">, </w:t>
      </w:r>
      <w:r w:rsidR="0071522F">
        <w:t xml:space="preserve">efetivamente </w:t>
      </w:r>
      <w:r w:rsidR="0071522F">
        <w:t>comprovada,</w:t>
      </w:r>
      <w:r w:rsidR="0071522F">
        <w:t xml:space="preserve"> exigidas para a assunção da permissã</w:t>
      </w:r>
      <w:r w:rsidR="0071522F">
        <w:t>o</w:t>
      </w:r>
      <w:r>
        <w:t>.</w:t>
      </w:r>
    </w:p>
    <w:p w:rsidR="002C5094" w:rsidRDefault="002C5094" w:rsidP="002C5094">
      <w:pPr>
        <w:pStyle w:val="Corpodetexto"/>
        <w:spacing w:before="120" w:line="359" w:lineRule="auto"/>
        <w:ind w:left="825" w:right="-1"/>
        <w:jc w:val="both"/>
      </w:pPr>
      <w:r>
        <w:t xml:space="preserve">Destaca-se, pelas </w:t>
      </w:r>
      <w:r w:rsidRPr="0071522F">
        <w:t>Normas Brasileiras de Contabilidade,</w:t>
      </w:r>
      <w:r>
        <w:t xml:space="preserve"> </w:t>
      </w:r>
      <w:r w:rsidR="0071522F">
        <w:t xml:space="preserve">que </w:t>
      </w:r>
      <w:r>
        <w:t xml:space="preserve">qualquer empresa quando adquire um bem ativo ou realiza </w:t>
      </w:r>
      <w:r w:rsidRPr="0071522F">
        <w:t>benfeitorias</w:t>
      </w:r>
      <w:r w:rsidRPr="005243AA">
        <w:t> ou</w:t>
      </w:r>
      <w:r w:rsidR="0071522F">
        <w:t xml:space="preserve"> </w:t>
      </w:r>
      <w:r w:rsidRPr="005243AA">
        <w:t>construções em </w:t>
      </w:r>
      <w:r w:rsidRPr="0071522F">
        <w:t>imóveis</w:t>
      </w:r>
      <w:r w:rsidRPr="005243AA">
        <w:t> locados</w:t>
      </w:r>
      <w:r>
        <w:t xml:space="preserve"> deverá proceder em sua contabilidade a amortização d</w:t>
      </w:r>
      <w:r w:rsidR="0071522F">
        <w:t>esses</w:t>
      </w:r>
      <w:r>
        <w:t xml:space="preserve"> </w:t>
      </w:r>
      <w:r w:rsidR="0071522F">
        <w:t>ativos</w:t>
      </w:r>
      <w:r>
        <w:t xml:space="preserve"> para atender à depreciação ao longo do tempo, logo</w:t>
      </w:r>
      <w:r w:rsidR="0071522F">
        <w:t xml:space="preserve">, caso </w:t>
      </w:r>
      <w:r>
        <w:t>a permissão de uso for rescindida unilateral antes do fim do prazo estabelecido, a parcela que não tiver sido amortizada n</w:t>
      </w:r>
      <w:r w:rsidR="0071522F">
        <w:t xml:space="preserve">a contabilidade da empresa, </w:t>
      </w:r>
      <w:r w:rsidR="003E3F8B">
        <w:t>será utilizada</w:t>
      </w:r>
      <w:r w:rsidR="0071522F">
        <w:t xml:space="preserve"> com</w:t>
      </w:r>
      <w:r w:rsidR="00B94670">
        <w:t>o</w:t>
      </w:r>
      <w:r w:rsidR="0071522F">
        <w:t xml:space="preserve"> base</w:t>
      </w:r>
      <w:r>
        <w:t xml:space="preserve"> para efeito de</w:t>
      </w:r>
      <w:r w:rsidR="003E3F8B">
        <w:t>ssa</w:t>
      </w:r>
      <w:r>
        <w:t xml:space="preserve"> indenização</w:t>
      </w:r>
      <w:r w:rsidR="0071522F">
        <w:t>.</w:t>
      </w:r>
    </w:p>
    <w:p w:rsidR="002C5094" w:rsidRDefault="002C5094" w:rsidP="00CB095B">
      <w:pPr>
        <w:pStyle w:val="Corpodetexto"/>
        <w:spacing w:before="120" w:line="359" w:lineRule="auto"/>
        <w:ind w:left="825" w:right="-1"/>
        <w:jc w:val="both"/>
      </w:pPr>
    </w:p>
    <w:p w:rsidR="00CB095B" w:rsidRPr="00AA13A9" w:rsidRDefault="00AA13A9" w:rsidP="00AA13A9">
      <w:pPr>
        <w:pStyle w:val="Corpodetexto"/>
        <w:numPr>
          <w:ilvl w:val="0"/>
          <w:numId w:val="2"/>
        </w:numPr>
        <w:spacing w:before="120" w:line="359" w:lineRule="auto"/>
        <w:ind w:right="-1"/>
        <w:jc w:val="both"/>
        <w:rPr>
          <w:b/>
        </w:rPr>
      </w:pPr>
      <w:r w:rsidRPr="00AA13A9">
        <w:rPr>
          <w:b/>
        </w:rPr>
        <w:t>A INEXISTÊNCIA DE GARANTIA DE UM NÚMERO MÍNIMO DE EVENTOS NA GRANDE SALA E NO COMPLEXO EM SI A EMBASAR A FORMATAÇÃO DE UMA PROPOSTA DE PREÇOS</w:t>
      </w:r>
      <w:r w:rsidR="00FA1539" w:rsidRPr="00AA13A9">
        <w:rPr>
          <w:b/>
        </w:rPr>
        <w:t xml:space="preserve"> </w:t>
      </w:r>
    </w:p>
    <w:p w:rsidR="009E54FD" w:rsidRDefault="00AA13A9" w:rsidP="00DB7579">
      <w:pPr>
        <w:pStyle w:val="Corpodetexto"/>
        <w:spacing w:before="120" w:line="359" w:lineRule="auto"/>
        <w:ind w:left="825" w:right="-1"/>
        <w:jc w:val="both"/>
      </w:pPr>
      <w:r>
        <w:t>O impugnante alega que não há qualquer menção a um calendário mínimo de eventos na Grande Sala e no Complexo em si que permitam o planejamento do parceiro privado e a formatação de uma proposta de preço adequada às expectativas de serviços a serem prestados.</w:t>
      </w:r>
    </w:p>
    <w:p w:rsidR="00AA13A9" w:rsidRPr="009F5E3E" w:rsidRDefault="00AA13A9" w:rsidP="00AA13A9">
      <w:pPr>
        <w:pStyle w:val="Corpodetexto"/>
        <w:spacing w:before="120" w:line="359" w:lineRule="auto"/>
        <w:ind w:left="825" w:right="-1"/>
        <w:jc w:val="both"/>
      </w:pPr>
      <w:r w:rsidRPr="009F5E3E">
        <w:lastRenderedPageBreak/>
        <w:t xml:space="preserve">Não há necessidade de vincular a atuação do permissionário ao </w:t>
      </w:r>
      <w:r w:rsidR="009F5E3E" w:rsidRPr="009F5E3E">
        <w:t>planejamento do Complexo Cidade das Artes, visto que</w:t>
      </w:r>
      <w:r w:rsidR="0071522F">
        <w:t xml:space="preserve"> além de ser permitido abrir diariamente tanto para os funcionários do Complexo como para público externo, </w:t>
      </w:r>
      <w:r w:rsidR="0071522F" w:rsidRPr="009F5E3E">
        <w:t>foi</w:t>
      </w:r>
      <w:r w:rsidR="0071522F">
        <w:t xml:space="preserve"> dado a </w:t>
      </w:r>
      <w:r w:rsidR="0071522F" w:rsidRPr="009F5E3E">
        <w:t>possibilidade</w:t>
      </w:r>
      <w:r w:rsidR="009F5E3E" w:rsidRPr="009F5E3E">
        <w:t xml:space="preserve"> do </w:t>
      </w:r>
      <w:r w:rsidR="0071522F">
        <w:t xml:space="preserve">próprio </w:t>
      </w:r>
      <w:r w:rsidR="009F5E3E" w:rsidRPr="009F5E3E">
        <w:t xml:space="preserve">permissionário </w:t>
      </w:r>
      <w:r w:rsidR="0071522F">
        <w:t>produzir eventos nas áreas sob sua responsabilidade</w:t>
      </w:r>
      <w:r w:rsidR="0071522F">
        <w:t>, de acordo com os itens</w:t>
      </w:r>
      <w:r w:rsidR="0071522F" w:rsidRPr="009F5E3E">
        <w:t xml:space="preserve"> </w:t>
      </w:r>
      <w:r w:rsidR="0071522F">
        <w:t>5.3.2.3 e 5.3.2.9</w:t>
      </w:r>
      <w:r w:rsidR="0071522F" w:rsidRPr="009F5E3E">
        <w:t xml:space="preserve"> do TR</w:t>
      </w:r>
      <w:r w:rsidR="0071522F">
        <w:t>.</w:t>
      </w:r>
    </w:p>
    <w:p w:rsidR="009F5E3E" w:rsidRDefault="009F5E3E" w:rsidP="00AA13A9">
      <w:pPr>
        <w:pStyle w:val="Corpodetexto"/>
        <w:spacing w:before="120" w:line="359" w:lineRule="auto"/>
        <w:ind w:left="825" w:right="-1"/>
        <w:jc w:val="both"/>
        <w:rPr>
          <w:b/>
        </w:rPr>
      </w:pPr>
    </w:p>
    <w:p w:rsidR="009F5E3E" w:rsidRDefault="009F5E3E" w:rsidP="009F5E3E">
      <w:pPr>
        <w:pStyle w:val="Corpodetexto"/>
        <w:numPr>
          <w:ilvl w:val="0"/>
          <w:numId w:val="2"/>
        </w:numPr>
        <w:spacing w:before="120" w:line="359" w:lineRule="auto"/>
        <w:ind w:right="-1"/>
        <w:jc w:val="both"/>
        <w:rPr>
          <w:b/>
        </w:rPr>
      </w:pPr>
      <w:r w:rsidRPr="009F5E3E">
        <w:rPr>
          <w:b/>
        </w:rPr>
        <w:t>A INEXISTÊNCIA DE PREVISÃO EDITALÍCIA DE ANTECEDÊNCIA MÍNIMA PARA COMUNICAÇÃO QUANTO A EVENTOS NO COMPLEXO QUE EXIJAM O FUNCIONAMENTO DO BISTRÔ EM HORÁRIO DIFERENTE DO CONTRATUALMENTE ESTIPULADO</w:t>
      </w:r>
    </w:p>
    <w:p w:rsidR="00DF00E8" w:rsidRDefault="0071522F" w:rsidP="003D126A">
      <w:pPr>
        <w:pStyle w:val="Corpodetexto"/>
        <w:spacing w:before="120" w:line="359" w:lineRule="auto"/>
        <w:ind w:left="825" w:right="-1"/>
        <w:jc w:val="both"/>
      </w:pPr>
      <w:r>
        <w:t>D</w:t>
      </w:r>
      <w:r w:rsidR="00327A0E">
        <w:t xml:space="preserve">evido </w:t>
      </w:r>
      <w:r w:rsidR="00791165">
        <w:t>à</w:t>
      </w:r>
      <w:r w:rsidR="003D126A">
        <w:t xml:space="preserve"> </w:t>
      </w:r>
      <w:r w:rsidR="003D126A" w:rsidRPr="003D126A">
        <w:rPr>
          <w:bCs/>
        </w:rPr>
        <w:t>volubilidade</w:t>
      </w:r>
      <w:r w:rsidR="003D126A">
        <w:rPr>
          <w:b/>
          <w:bCs/>
        </w:rPr>
        <w:t xml:space="preserve"> </w:t>
      </w:r>
      <w:r w:rsidR="003D126A">
        <w:t>das programações no Complexo Cidade das Artes</w:t>
      </w:r>
      <w:r w:rsidR="00791165">
        <w:t xml:space="preserve"> não foi estabelecido um prazo </w:t>
      </w:r>
      <w:r w:rsidR="003D126A">
        <w:t xml:space="preserve">mínimo </w:t>
      </w:r>
      <w:r>
        <w:t>para</w:t>
      </w:r>
      <w:r w:rsidR="003D126A">
        <w:t xml:space="preserve"> a comunicação d</w:t>
      </w:r>
      <w:r w:rsidR="00791165">
        <w:t xml:space="preserve">as permissionárias </w:t>
      </w:r>
      <w:r w:rsidR="003D126A">
        <w:t xml:space="preserve">quanto a mudança do horário. Todavia, todas as programações são </w:t>
      </w:r>
      <w:r w:rsidR="003E3F8B">
        <w:t>divulgadas com antecedência</w:t>
      </w:r>
      <w:r w:rsidR="003D126A">
        <w:t xml:space="preserve"> nos sites oficiais da Fundação Cidade das Artes, podendo os permissionários terem acesso </w:t>
      </w:r>
      <w:r w:rsidR="003E3F8B">
        <w:t>a todo</w:t>
      </w:r>
      <w:r w:rsidR="003D126A">
        <w:t xml:space="preserve"> momento a fim de se programar</w:t>
      </w:r>
      <w:r w:rsidR="001E417F">
        <w:t>em</w:t>
      </w:r>
      <w:r w:rsidR="003D126A">
        <w:t xml:space="preserve"> para cumprir tal cláusula.  </w:t>
      </w:r>
    </w:p>
    <w:p w:rsidR="00DF00E8" w:rsidRDefault="00DF00E8" w:rsidP="00DF00E8">
      <w:pPr>
        <w:pStyle w:val="Corpodetexto"/>
        <w:spacing w:before="120" w:line="359" w:lineRule="auto"/>
        <w:ind w:left="825" w:right="-1"/>
        <w:jc w:val="both"/>
      </w:pPr>
    </w:p>
    <w:p w:rsidR="00DF00E8" w:rsidRPr="00DF00E8" w:rsidRDefault="00DF00E8" w:rsidP="00DF00E8">
      <w:pPr>
        <w:pStyle w:val="Corpodetexto"/>
        <w:numPr>
          <w:ilvl w:val="0"/>
          <w:numId w:val="2"/>
        </w:numPr>
        <w:spacing w:before="120" w:line="359" w:lineRule="auto"/>
        <w:ind w:right="-1"/>
        <w:jc w:val="both"/>
      </w:pPr>
      <w:r w:rsidRPr="00DF00E8">
        <w:rPr>
          <w:b/>
        </w:rPr>
        <w:t>A INEXISTÊNCIA DE DEFINIÇÃO CLARA DO HORÁRIO DE FUNCIONAMENTO DO</w:t>
      </w:r>
      <w:r>
        <w:t xml:space="preserve"> </w:t>
      </w:r>
      <w:r w:rsidRPr="00DF00E8">
        <w:rPr>
          <w:b/>
        </w:rPr>
        <w:t>CAFÉ DA GRANDE SALA</w:t>
      </w:r>
    </w:p>
    <w:p w:rsidR="00BE3685" w:rsidRDefault="00F01E62" w:rsidP="002716F6">
      <w:pPr>
        <w:pStyle w:val="Corpodetexto"/>
        <w:spacing w:before="120" w:line="359" w:lineRule="auto"/>
        <w:ind w:left="825" w:right="-1"/>
        <w:jc w:val="both"/>
      </w:pPr>
      <w:r>
        <w:t>O impugnante alega que a omissão no horário de encerramento</w:t>
      </w:r>
      <w:r w:rsidR="00BE3685">
        <w:t xml:space="preserve"> impede a formulação de proposta de preço responsável porque as variáveis de custo são muito expressivas: ar condicionado, pessoal, material de alimentos e bebidas etc. Se a operação exigida nos finais de semana for de quatro ou oito horas a equação é substancialmente alterada.</w:t>
      </w:r>
      <w:r>
        <w:t xml:space="preserve"> </w:t>
      </w:r>
    </w:p>
    <w:p w:rsidR="00440DEC" w:rsidRDefault="007218D4" w:rsidP="00440DEC">
      <w:pPr>
        <w:pStyle w:val="Corpodetexto"/>
        <w:spacing w:before="120" w:line="359" w:lineRule="auto"/>
        <w:ind w:left="825" w:right="-1"/>
        <w:jc w:val="both"/>
      </w:pPr>
      <w:r>
        <w:t xml:space="preserve">A F-artes não </w:t>
      </w:r>
      <w:r w:rsidR="00F6363A">
        <w:t xml:space="preserve">limitou um </w:t>
      </w:r>
      <w:r>
        <w:t>horário para fechamento da cafeteria</w:t>
      </w:r>
      <w:r>
        <w:t xml:space="preserve"> aos sábados e domingos</w:t>
      </w:r>
      <w:r w:rsidR="00BE3685">
        <w:t xml:space="preserve"> c</w:t>
      </w:r>
      <w:r w:rsidR="00DF00E8">
        <w:t xml:space="preserve">aso não haja programação na Grande </w:t>
      </w:r>
      <w:r>
        <w:t>S</w:t>
      </w:r>
      <w:r w:rsidR="00DF00E8">
        <w:t>ala,</w:t>
      </w:r>
      <w:r>
        <w:t xml:space="preserve"> contudo deverá ser respeitado a obrigatoriedade de servir o</w:t>
      </w:r>
      <w:r w:rsidR="002716F6">
        <w:t xml:space="preserve"> lanche da tarde</w:t>
      </w:r>
      <w:r>
        <w:t>.</w:t>
      </w:r>
      <w:r w:rsidR="00BE3685">
        <w:t xml:space="preserve"> </w:t>
      </w:r>
    </w:p>
    <w:p w:rsidR="00BE3685" w:rsidRDefault="00440DEC" w:rsidP="002716F6">
      <w:pPr>
        <w:pStyle w:val="Corpodetexto"/>
        <w:spacing w:before="120" w:line="359" w:lineRule="auto"/>
        <w:ind w:left="825" w:right="-1"/>
        <w:jc w:val="both"/>
      </w:pPr>
      <w:r>
        <w:t>Desta forma</w:t>
      </w:r>
      <w:r>
        <w:t>,</w:t>
      </w:r>
      <w:r>
        <w:t xml:space="preserve"> cabe ao</w:t>
      </w:r>
      <w:r>
        <w:t xml:space="preserve"> licitante, para a formulação de proposta de preço responsável, </w:t>
      </w:r>
      <w:r>
        <w:t>levar em</w:t>
      </w:r>
      <w:r>
        <w:t xml:space="preserve"> consideração o que </w:t>
      </w:r>
      <w:r>
        <w:t>será</w:t>
      </w:r>
      <w:r>
        <w:t xml:space="preserve"> ofere</w:t>
      </w:r>
      <w:r>
        <w:t>cido</w:t>
      </w:r>
      <w:r>
        <w:t xml:space="preserve"> a fim de atrair o público para que a cafeteria permaneça aberta por mais ou menos tempo</w:t>
      </w:r>
      <w:r>
        <w:t xml:space="preserve"> após os serviços obrigatórios.</w:t>
      </w:r>
    </w:p>
    <w:p w:rsidR="002716F6" w:rsidRPr="002716F6" w:rsidRDefault="002716F6" w:rsidP="002716F6">
      <w:pPr>
        <w:pStyle w:val="Corpodetexto"/>
        <w:numPr>
          <w:ilvl w:val="0"/>
          <w:numId w:val="2"/>
        </w:numPr>
        <w:spacing w:before="120" w:line="359" w:lineRule="auto"/>
        <w:ind w:right="-1"/>
        <w:jc w:val="both"/>
        <w:rPr>
          <w:b/>
        </w:rPr>
      </w:pPr>
      <w:r w:rsidRPr="002716F6">
        <w:rPr>
          <w:b/>
        </w:rPr>
        <w:t>A FALTA DE CLAREZA QUANTO À OFERTA DE PRODUTOS EXIGIDA NA DUAS ÁREAS</w:t>
      </w:r>
    </w:p>
    <w:p w:rsidR="00DB7579" w:rsidRDefault="002716F6" w:rsidP="00DB7579">
      <w:pPr>
        <w:pStyle w:val="Corpodetexto"/>
        <w:spacing w:line="364" w:lineRule="auto"/>
        <w:ind w:firstLine="720"/>
        <w:jc w:val="both"/>
      </w:pPr>
      <w:r>
        <w:t>No item 5.3.3.11 estabelece tanto</w:t>
      </w:r>
      <w:r w:rsidR="00F01E62">
        <w:t xml:space="preserve"> sugestões de</w:t>
      </w:r>
      <w:r>
        <w:t xml:space="preserve"> cardápios para área 1 quanto para área 2</w:t>
      </w:r>
      <w:r w:rsidR="00F01E62">
        <w:t>.</w:t>
      </w:r>
    </w:p>
    <w:p w:rsidR="00DB7579" w:rsidRDefault="00DB7579" w:rsidP="00DB7579">
      <w:pPr>
        <w:pStyle w:val="Corpodetexto"/>
        <w:spacing w:line="364" w:lineRule="auto"/>
        <w:ind w:firstLine="720"/>
        <w:jc w:val="both"/>
      </w:pPr>
    </w:p>
    <w:p w:rsidR="00DB7579" w:rsidRPr="002716F6" w:rsidRDefault="002716F6" w:rsidP="002716F6">
      <w:pPr>
        <w:pStyle w:val="Corpodetexto"/>
        <w:numPr>
          <w:ilvl w:val="0"/>
          <w:numId w:val="2"/>
        </w:numPr>
        <w:spacing w:before="120" w:line="359" w:lineRule="auto"/>
        <w:ind w:right="-1"/>
        <w:jc w:val="both"/>
        <w:rPr>
          <w:b/>
        </w:rPr>
      </w:pPr>
      <w:r w:rsidRPr="002716F6">
        <w:rPr>
          <w:b/>
        </w:rPr>
        <w:lastRenderedPageBreak/>
        <w:t>A IMPOSIÇÃO DE CONDIÇÃO SUBJETIVA QUANTO AOS PREÇOS A SEREM PRATICADOS PELO PARCEIRO PRIVADO</w:t>
      </w:r>
    </w:p>
    <w:p w:rsidR="00A50B95" w:rsidRDefault="002716F6" w:rsidP="00F1516D">
      <w:pPr>
        <w:pStyle w:val="Corpodetexto"/>
        <w:spacing w:before="120" w:line="359" w:lineRule="auto"/>
        <w:ind w:left="112" w:right="-1" w:firstLine="720"/>
        <w:jc w:val="both"/>
      </w:pPr>
      <w:r>
        <w:t>O impugnante acredita que o item 5.3.3.9 do Termo de Referência que é exigido que os preços devem ser “acessíveis” é absolutamente subjetiva e deve ser suprimida do Aviso.</w:t>
      </w:r>
    </w:p>
    <w:p w:rsidR="005C3643" w:rsidRDefault="002716F6" w:rsidP="00F1516D">
      <w:pPr>
        <w:pStyle w:val="Corpodetexto"/>
        <w:spacing w:before="120" w:line="359" w:lineRule="auto"/>
        <w:ind w:left="112" w:right="-1" w:firstLine="720"/>
        <w:jc w:val="both"/>
      </w:pPr>
      <w:r>
        <w:t xml:space="preserve">O edital e o termo de referência </w:t>
      </w:r>
      <w:r w:rsidR="00F6363A">
        <w:t>são</w:t>
      </w:r>
      <w:r w:rsidR="00071294">
        <w:t xml:space="preserve"> </w:t>
      </w:r>
      <w:r w:rsidR="00F01E62">
        <w:t xml:space="preserve">tão </w:t>
      </w:r>
      <w:r w:rsidR="00071294">
        <w:t>somente</w:t>
      </w:r>
      <w:r>
        <w:t xml:space="preserve"> uma diretriz do que</w:t>
      </w:r>
      <w:r w:rsidR="00071294">
        <w:t xml:space="preserve"> a FCA necessita </w:t>
      </w:r>
      <w:r w:rsidR="00F6363A">
        <w:t>na</w:t>
      </w:r>
      <w:r w:rsidR="00071294">
        <w:t xml:space="preserve"> prestação do serviço, não podendo interferir no negócio d</w:t>
      </w:r>
      <w:r w:rsidR="00F01E62">
        <w:t>o</w:t>
      </w:r>
      <w:r w:rsidR="00071294">
        <w:t xml:space="preserve"> permissionário, a não ser que</w:t>
      </w:r>
      <w:r w:rsidR="00F01E62">
        <w:t xml:space="preserve"> seja</w:t>
      </w:r>
      <w:r w:rsidR="00F6363A">
        <w:t>m situações</w:t>
      </w:r>
      <w:r w:rsidR="00F01E62">
        <w:t xml:space="preserve"> exorbitantes </w:t>
      </w:r>
      <w:r w:rsidR="00C05F14">
        <w:t>a</w:t>
      </w:r>
      <w:r w:rsidR="00F6363A">
        <w:t xml:space="preserve"> qual </w:t>
      </w:r>
      <w:r w:rsidR="00F01E62">
        <w:t>será fiscalizad</w:t>
      </w:r>
      <w:r w:rsidR="00C05F14">
        <w:t>a</w:t>
      </w:r>
      <w:r w:rsidR="00F01E62">
        <w:t xml:space="preserve"> pela </w:t>
      </w:r>
      <w:r w:rsidR="00F6363A">
        <w:t xml:space="preserve">FCA, e caso necessário, notificará </w:t>
      </w:r>
      <w:r w:rsidR="00440DEC">
        <w:t xml:space="preserve">e penalizará </w:t>
      </w:r>
      <w:r w:rsidR="00F6363A">
        <w:t xml:space="preserve">ao Permissionário </w:t>
      </w:r>
      <w:r w:rsidR="00C05F14">
        <w:rPr>
          <w:rFonts w:cs="Arial"/>
          <w:color w:val="222222"/>
          <w:shd w:val="clear" w:color="auto" w:fill="FFFFFF"/>
        </w:rPr>
        <w:t>assegura</w:t>
      </w:r>
      <w:r w:rsidR="00440DEC">
        <w:rPr>
          <w:rFonts w:cs="Arial"/>
          <w:color w:val="222222"/>
          <w:shd w:val="clear" w:color="auto" w:fill="FFFFFF"/>
        </w:rPr>
        <w:t>ndo</w:t>
      </w:r>
      <w:r w:rsidR="00C05F14">
        <w:rPr>
          <w:rFonts w:cs="Arial"/>
          <w:color w:val="222222"/>
          <w:shd w:val="clear" w:color="auto" w:fill="FFFFFF"/>
        </w:rPr>
        <w:t xml:space="preserve"> o direito da</w:t>
      </w:r>
      <w:r w:rsidR="00C05F14">
        <w:t xml:space="preserve"> </w:t>
      </w:r>
      <w:r w:rsidR="00F6363A">
        <w:t xml:space="preserve">ampla defesa e do contraditório. </w:t>
      </w:r>
    </w:p>
    <w:p w:rsidR="00507D18" w:rsidRDefault="00507D18" w:rsidP="00507D18">
      <w:pPr>
        <w:pStyle w:val="Corpodetexto"/>
        <w:spacing w:before="7"/>
        <w:ind w:left="105"/>
      </w:pPr>
    </w:p>
    <w:p w:rsidR="00071294" w:rsidRDefault="00071294" w:rsidP="00071294">
      <w:pPr>
        <w:spacing w:before="158" w:line="359" w:lineRule="auto"/>
        <w:ind w:left="209" w:right="138" w:firstLine="69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>Ante</w:t>
      </w:r>
      <w:r>
        <w:rPr>
          <w:rFonts w:ascii="Arial" w:hAnsi="Arial"/>
          <w:spacing w:val="1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</w:t>
      </w:r>
      <w:r>
        <w:rPr>
          <w:rFonts w:ascii="Arial" w:hAnsi="Arial"/>
          <w:spacing w:val="7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exposto,</w:t>
      </w:r>
      <w:r>
        <w:rPr>
          <w:rFonts w:ascii="Arial" w:hAnsi="Arial"/>
          <w:spacing w:val="2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conheço</w:t>
      </w:r>
      <w:r>
        <w:rPr>
          <w:rFonts w:ascii="Arial" w:hAnsi="Arial"/>
          <w:spacing w:val="1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da</w:t>
      </w:r>
      <w:r>
        <w:rPr>
          <w:rFonts w:ascii="Arial" w:hAnsi="Arial"/>
          <w:spacing w:val="1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impugnação</w:t>
      </w:r>
      <w:r>
        <w:rPr>
          <w:rFonts w:ascii="Arial" w:hAnsi="Arial"/>
          <w:spacing w:val="1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oferecida</w:t>
      </w:r>
      <w:r>
        <w:rPr>
          <w:rFonts w:ascii="Arial" w:hAnsi="Arial"/>
          <w:spacing w:val="1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em</w:t>
      </w:r>
      <w:r>
        <w:rPr>
          <w:rFonts w:ascii="Arial" w:hAnsi="Arial"/>
          <w:spacing w:val="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face</w:t>
      </w:r>
      <w:r>
        <w:rPr>
          <w:rFonts w:ascii="Arial" w:hAnsi="Arial"/>
          <w:spacing w:val="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do</w:t>
      </w:r>
      <w:r>
        <w:rPr>
          <w:rFonts w:ascii="Arial" w:hAnsi="Arial"/>
          <w:spacing w:val="2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Edital</w:t>
      </w:r>
      <w:r>
        <w:rPr>
          <w:rFonts w:ascii="Arial" w:hAnsi="Arial"/>
          <w:spacing w:val="-7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</w:t>
      </w:r>
      <w:r>
        <w:rPr>
          <w:rFonts w:ascii="Arial" w:hAnsi="Arial"/>
          <w:spacing w:val="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Aviso de seleção</w:t>
      </w:r>
      <w:r>
        <w:rPr>
          <w:rFonts w:ascii="Arial" w:hAnsi="Arial"/>
          <w:spacing w:val="19"/>
          <w:w w:val="105"/>
          <w:sz w:val="19"/>
        </w:rPr>
        <w:t xml:space="preserve"> F-Artes </w:t>
      </w:r>
      <w:r>
        <w:rPr>
          <w:rFonts w:ascii="Arial" w:hAnsi="Arial"/>
          <w:w w:val="105"/>
          <w:sz w:val="19"/>
        </w:rPr>
        <w:t>nº</w:t>
      </w:r>
      <w:r>
        <w:rPr>
          <w:rFonts w:ascii="Arial" w:hAnsi="Arial"/>
          <w:spacing w:val="1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02/2020</w:t>
      </w:r>
      <w:r>
        <w:rPr>
          <w:rFonts w:ascii="Times New Roman" w:hAnsi="Times New Roman"/>
          <w:w w:val="105"/>
          <w:sz w:val="21"/>
        </w:rPr>
        <w:t xml:space="preserve"> </w:t>
      </w:r>
      <w:r>
        <w:rPr>
          <w:rFonts w:ascii="Arial" w:hAnsi="Arial"/>
          <w:w w:val="105"/>
          <w:sz w:val="19"/>
        </w:rPr>
        <w:t>e</w:t>
      </w:r>
      <w:r>
        <w:rPr>
          <w:rFonts w:ascii="Arial" w:hAnsi="Arial"/>
          <w:spacing w:val="1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1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nego</w:t>
      </w:r>
      <w:r>
        <w:rPr>
          <w:rFonts w:ascii="Arial" w:hAnsi="Arial"/>
          <w:spacing w:val="1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provimento.</w:t>
      </w:r>
    </w:p>
    <w:p w:rsidR="00F979D7" w:rsidRDefault="00F979D7"/>
    <w:p w:rsidR="00A60D93" w:rsidRDefault="00A60D93" w:rsidP="00A60D93">
      <w:pPr>
        <w:jc w:val="center"/>
      </w:pPr>
      <w:r>
        <w:t>Rio de janeiro, 08 de outubro de 2020</w:t>
      </w:r>
    </w:p>
    <w:p w:rsidR="00A60D93" w:rsidRDefault="00A60D93" w:rsidP="00A60D93">
      <w:pPr>
        <w:jc w:val="center"/>
      </w:pPr>
    </w:p>
    <w:p w:rsidR="00A60D93" w:rsidRDefault="00A60D93" w:rsidP="00A60D93">
      <w:pPr>
        <w:jc w:val="center"/>
      </w:pPr>
    </w:p>
    <w:p w:rsidR="00A60D93" w:rsidRPr="00B94670" w:rsidRDefault="00B94670" w:rsidP="00A60D93">
      <w:pPr>
        <w:jc w:val="center"/>
        <w:rPr>
          <w:color w:val="1F4E79" w:themeColor="accent1" w:themeShade="80"/>
          <w:u w:val="single"/>
        </w:rPr>
      </w:pPr>
      <w:r w:rsidRPr="00B94670">
        <w:rPr>
          <w:color w:val="1F4E79" w:themeColor="accent1" w:themeShade="80"/>
          <w:u w:val="single"/>
        </w:rPr>
        <w:t>ORIGINAL ASSINADO</w:t>
      </w:r>
    </w:p>
    <w:p w:rsidR="00B94670" w:rsidRDefault="00B94670" w:rsidP="00A60D93">
      <w:pPr>
        <w:jc w:val="center"/>
      </w:pPr>
    </w:p>
    <w:p w:rsidR="00B94670" w:rsidRDefault="00B94670" w:rsidP="00A60D93">
      <w:pPr>
        <w:jc w:val="center"/>
      </w:pPr>
    </w:p>
    <w:tbl>
      <w:tblPr>
        <w:tblW w:w="10533" w:type="dxa"/>
        <w:tblInd w:w="-1026" w:type="dxa"/>
        <w:tblLook w:val="01E0" w:firstRow="1" w:lastRow="1" w:firstColumn="1" w:lastColumn="1" w:noHBand="0" w:noVBand="0"/>
      </w:tblPr>
      <w:tblGrid>
        <w:gridCol w:w="5245"/>
        <w:gridCol w:w="5288"/>
      </w:tblGrid>
      <w:tr w:rsidR="00A60D93" w:rsidRPr="00FF332D" w:rsidTr="00CD4445">
        <w:tc>
          <w:tcPr>
            <w:tcW w:w="10533" w:type="dxa"/>
            <w:gridSpan w:val="2"/>
          </w:tcPr>
          <w:p w:rsidR="00A60D93" w:rsidRPr="00FF332D" w:rsidRDefault="00A60D93" w:rsidP="00CD44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 MIRANDA DO SACRAMENTO</w:t>
            </w:r>
          </w:p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  <w:r w:rsidRPr="00FF332D">
              <w:rPr>
                <w:rFonts w:ascii="Arial" w:hAnsi="Arial" w:cs="Arial"/>
              </w:rPr>
              <w:t xml:space="preserve">Presidente - Mat.: </w:t>
            </w:r>
            <w:r>
              <w:rPr>
                <w:rFonts w:ascii="Arial" w:hAnsi="Arial" w:cs="Arial"/>
              </w:rPr>
              <w:t>13/274.571-9</w:t>
            </w:r>
          </w:p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</w:p>
        </w:tc>
      </w:tr>
      <w:tr w:rsidR="00A60D93" w:rsidRPr="00FF332D" w:rsidTr="00CD4445">
        <w:tc>
          <w:tcPr>
            <w:tcW w:w="5245" w:type="dxa"/>
          </w:tcPr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</w:p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</w:p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</w:p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</w:p>
          <w:p w:rsidR="00A60D93" w:rsidRDefault="00A60D93" w:rsidP="00CD4445">
            <w:pPr>
              <w:jc w:val="center"/>
              <w:rPr>
                <w:rFonts w:ascii="Arial" w:hAnsi="Arial" w:cs="Arial"/>
                <w:b/>
              </w:rPr>
            </w:pPr>
            <w:r w:rsidRPr="002F1C3E">
              <w:rPr>
                <w:rFonts w:ascii="Arial" w:hAnsi="Arial" w:cs="Arial"/>
                <w:b/>
              </w:rPr>
              <w:t xml:space="preserve">ELOIZA HELENA CORDEIRO DA SILVA </w:t>
            </w:r>
          </w:p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Vice-Presidene</w:t>
            </w:r>
            <w:r w:rsidRPr="00FF332D">
              <w:rPr>
                <w:rFonts w:ascii="Arial" w:hAnsi="Arial" w:cs="Arial"/>
              </w:rPr>
              <w:t xml:space="preserve"> – Mat.: </w:t>
            </w:r>
            <w:r w:rsidRPr="002F1C3E">
              <w:rPr>
                <w:rFonts w:ascii="Arial" w:hAnsi="Arial" w:cs="Arial"/>
              </w:rPr>
              <w:t xml:space="preserve">13//170.345-3 </w:t>
            </w:r>
          </w:p>
        </w:tc>
        <w:tc>
          <w:tcPr>
            <w:tcW w:w="5288" w:type="dxa"/>
          </w:tcPr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</w:p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</w:p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</w:p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</w:p>
          <w:p w:rsidR="00A60D93" w:rsidRPr="00FF332D" w:rsidRDefault="00A60D93" w:rsidP="00CD44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DA SILVA</w:t>
            </w:r>
          </w:p>
          <w:p w:rsidR="00A60D93" w:rsidRPr="00FF332D" w:rsidRDefault="00A60D93" w:rsidP="00CD4445">
            <w:pPr>
              <w:jc w:val="center"/>
              <w:rPr>
                <w:rFonts w:ascii="Arial" w:hAnsi="Arial" w:cs="Arial"/>
              </w:rPr>
            </w:pPr>
            <w:r w:rsidRPr="00FF332D">
              <w:rPr>
                <w:rFonts w:ascii="Arial" w:hAnsi="Arial" w:cs="Arial"/>
              </w:rPr>
              <w:t xml:space="preserve">Suplente - Mat.: </w:t>
            </w:r>
            <w:r w:rsidRPr="002F1C3E">
              <w:rPr>
                <w:rFonts w:ascii="Arial" w:hAnsi="Arial" w:cs="Arial"/>
              </w:rPr>
              <w:t>13/ 290.172-6</w:t>
            </w:r>
          </w:p>
        </w:tc>
      </w:tr>
    </w:tbl>
    <w:p w:rsidR="00A60D93" w:rsidRPr="00FF332D" w:rsidRDefault="00A60D93" w:rsidP="00A60D93"/>
    <w:p w:rsidR="00A60D93" w:rsidRDefault="00A60D93" w:rsidP="00A60D93">
      <w:pPr>
        <w:jc w:val="center"/>
      </w:pPr>
    </w:p>
    <w:p w:rsidR="00A60D93" w:rsidRDefault="00A60D93" w:rsidP="00A60D93">
      <w:pPr>
        <w:jc w:val="center"/>
      </w:pPr>
    </w:p>
    <w:sectPr w:rsidR="00A60D93" w:rsidSect="00B94670">
      <w:headerReference w:type="default" r:id="rId9"/>
      <w:pgSz w:w="11906" w:h="16838"/>
      <w:pgMar w:top="1417" w:right="170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26" w:rsidRDefault="00436526" w:rsidP="00A60D93">
      <w:r>
        <w:separator/>
      </w:r>
    </w:p>
  </w:endnote>
  <w:endnote w:type="continuationSeparator" w:id="0">
    <w:p w:rsidR="00436526" w:rsidRDefault="00436526" w:rsidP="00A6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26" w:rsidRDefault="00436526" w:rsidP="00A60D93">
      <w:r>
        <w:separator/>
      </w:r>
    </w:p>
  </w:footnote>
  <w:footnote w:type="continuationSeparator" w:id="0">
    <w:p w:rsidR="00436526" w:rsidRDefault="00436526" w:rsidP="00A6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Look w:val="04A0" w:firstRow="1" w:lastRow="0" w:firstColumn="1" w:lastColumn="0" w:noHBand="0" w:noVBand="1"/>
    </w:tblPr>
    <w:tblGrid>
      <w:gridCol w:w="1285"/>
      <w:gridCol w:w="4360"/>
      <w:gridCol w:w="559"/>
      <w:gridCol w:w="2409"/>
    </w:tblGrid>
    <w:tr w:rsidR="00A60D93" w:rsidRPr="005B2FCC" w:rsidTr="00B94670">
      <w:trPr>
        <w:trHeight w:val="1272"/>
      </w:trPr>
      <w:tc>
        <w:tcPr>
          <w:tcW w:w="1285" w:type="dxa"/>
          <w:shd w:val="clear" w:color="auto" w:fill="auto"/>
        </w:tcPr>
        <w:p w:rsidR="00A60D93" w:rsidRDefault="00A60D93" w:rsidP="00A60D93">
          <w:pPr>
            <w:pStyle w:val="Cabealho"/>
          </w:pPr>
        </w:p>
        <w:p w:rsidR="00B94670" w:rsidRDefault="00B94670" w:rsidP="00B94670">
          <w:pPr>
            <w:pStyle w:val="Cabealho"/>
            <w:tabs>
              <w:tab w:val="clear" w:pos="4252"/>
              <w:tab w:val="clear" w:pos="8504"/>
              <w:tab w:val="left" w:pos="724"/>
            </w:tabs>
          </w:pPr>
          <w:r>
            <w:tab/>
          </w:r>
        </w:p>
        <w:p w:rsidR="00A60D93" w:rsidRPr="005B2FCC" w:rsidRDefault="00A60D93" w:rsidP="00A60D93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60" w:type="dxa"/>
          <w:shd w:val="clear" w:color="auto" w:fill="auto"/>
        </w:tcPr>
        <w:p w:rsidR="00A60D93" w:rsidRPr="005B2FCC" w:rsidRDefault="00B94670" w:rsidP="00A60D93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1" locked="0" layoutInCell="1" allowOverlap="1" wp14:anchorId="1C78C684" wp14:editId="606489A5">
                <wp:simplePos x="0" y="0"/>
                <wp:positionH relativeFrom="column">
                  <wp:posOffset>-2463800</wp:posOffset>
                </wp:positionH>
                <wp:positionV relativeFrom="paragraph">
                  <wp:posOffset>-135271</wp:posOffset>
                </wp:positionV>
                <wp:extent cx="6887431" cy="909915"/>
                <wp:effectExtent l="0" t="0" r="0" b="508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98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7431" cy="90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" w:type="dxa"/>
          <w:shd w:val="clear" w:color="auto" w:fill="auto"/>
        </w:tcPr>
        <w:p w:rsidR="00A60D93" w:rsidRPr="005B2FCC" w:rsidRDefault="00A60D93" w:rsidP="00A60D93">
          <w:pPr>
            <w:pStyle w:val="Cabealho"/>
            <w:rPr>
              <w:rFonts w:ascii="Arial" w:hAnsi="Arial" w:cs="Arial"/>
              <w:color w:val="1F497D"/>
              <w:sz w:val="16"/>
              <w:szCs w:val="16"/>
            </w:rPr>
          </w:pPr>
        </w:p>
      </w:tc>
      <w:tc>
        <w:tcPr>
          <w:tcW w:w="2409" w:type="dxa"/>
          <w:shd w:val="clear" w:color="auto" w:fill="auto"/>
        </w:tcPr>
        <w:p w:rsidR="00A60D93" w:rsidRPr="006227D2" w:rsidRDefault="00A60D93" w:rsidP="00A60D93">
          <w:pPr>
            <w:pStyle w:val="Cabealho"/>
            <w:spacing w:line="480" w:lineRule="auto"/>
            <w:ind w:right="-108"/>
            <w:rPr>
              <w:rFonts w:ascii="Arial" w:hAnsi="Arial" w:cs="Arial"/>
              <w:sz w:val="16"/>
              <w:szCs w:val="16"/>
            </w:rPr>
          </w:pPr>
        </w:p>
      </w:tc>
    </w:tr>
  </w:tbl>
  <w:p w:rsidR="00A60D93" w:rsidRDefault="00A60D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E84"/>
    <w:multiLevelType w:val="hybridMultilevel"/>
    <w:tmpl w:val="A6269D3E"/>
    <w:lvl w:ilvl="0" w:tplc="04160013">
      <w:start w:val="1"/>
      <w:numFmt w:val="upperRoman"/>
      <w:lvlText w:val="%1."/>
      <w:lvlJc w:val="righ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33850C1"/>
    <w:multiLevelType w:val="hybridMultilevel"/>
    <w:tmpl w:val="7940FEA4"/>
    <w:lvl w:ilvl="0" w:tplc="04160013">
      <w:start w:val="1"/>
      <w:numFmt w:val="upperRoman"/>
      <w:lvlText w:val="%1."/>
      <w:lvlJc w:val="right"/>
      <w:pPr>
        <w:ind w:left="1545" w:hanging="360"/>
      </w:p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62BE68DB"/>
    <w:multiLevelType w:val="hybridMultilevel"/>
    <w:tmpl w:val="BF0E0ABE"/>
    <w:lvl w:ilvl="0" w:tplc="9CB41578">
      <w:start w:val="1"/>
      <w:numFmt w:val="decimal"/>
      <w:lvlText w:val="%1."/>
      <w:lvlJc w:val="left"/>
      <w:pPr>
        <w:ind w:left="343" w:hanging="224"/>
      </w:pPr>
      <w:rPr>
        <w:rFonts w:ascii="Arial" w:eastAsia="Arial" w:hAnsi="Arial" w:hint="default"/>
        <w:spacing w:val="-27"/>
        <w:w w:val="121"/>
        <w:sz w:val="20"/>
        <w:szCs w:val="20"/>
      </w:rPr>
    </w:lvl>
    <w:lvl w:ilvl="1" w:tplc="04F0D0F4">
      <w:start w:val="1"/>
      <w:numFmt w:val="bullet"/>
      <w:lvlText w:val="•"/>
      <w:lvlJc w:val="left"/>
      <w:pPr>
        <w:ind w:left="1271" w:hanging="224"/>
      </w:pPr>
      <w:rPr>
        <w:rFonts w:hint="default"/>
      </w:rPr>
    </w:lvl>
    <w:lvl w:ilvl="2" w:tplc="A68000F2">
      <w:start w:val="1"/>
      <w:numFmt w:val="bullet"/>
      <w:lvlText w:val="•"/>
      <w:lvlJc w:val="left"/>
      <w:pPr>
        <w:ind w:left="2200" w:hanging="224"/>
      </w:pPr>
      <w:rPr>
        <w:rFonts w:hint="default"/>
      </w:rPr>
    </w:lvl>
    <w:lvl w:ilvl="3" w:tplc="971820EE">
      <w:start w:val="1"/>
      <w:numFmt w:val="bullet"/>
      <w:lvlText w:val="•"/>
      <w:lvlJc w:val="left"/>
      <w:pPr>
        <w:ind w:left="3128" w:hanging="224"/>
      </w:pPr>
      <w:rPr>
        <w:rFonts w:hint="default"/>
      </w:rPr>
    </w:lvl>
    <w:lvl w:ilvl="4" w:tplc="BC4E9EEA">
      <w:start w:val="1"/>
      <w:numFmt w:val="bullet"/>
      <w:lvlText w:val="•"/>
      <w:lvlJc w:val="left"/>
      <w:pPr>
        <w:ind w:left="4057" w:hanging="224"/>
      </w:pPr>
      <w:rPr>
        <w:rFonts w:hint="default"/>
      </w:rPr>
    </w:lvl>
    <w:lvl w:ilvl="5" w:tplc="025E52F6">
      <w:start w:val="1"/>
      <w:numFmt w:val="bullet"/>
      <w:lvlText w:val="•"/>
      <w:lvlJc w:val="left"/>
      <w:pPr>
        <w:ind w:left="4986" w:hanging="224"/>
      </w:pPr>
      <w:rPr>
        <w:rFonts w:hint="default"/>
      </w:rPr>
    </w:lvl>
    <w:lvl w:ilvl="6" w:tplc="01EE76AE">
      <w:start w:val="1"/>
      <w:numFmt w:val="bullet"/>
      <w:lvlText w:val="•"/>
      <w:lvlJc w:val="left"/>
      <w:pPr>
        <w:ind w:left="5914" w:hanging="224"/>
      </w:pPr>
      <w:rPr>
        <w:rFonts w:hint="default"/>
      </w:rPr>
    </w:lvl>
    <w:lvl w:ilvl="7" w:tplc="8954EF1A">
      <w:start w:val="1"/>
      <w:numFmt w:val="bullet"/>
      <w:lvlText w:val="•"/>
      <w:lvlJc w:val="left"/>
      <w:pPr>
        <w:ind w:left="6843" w:hanging="224"/>
      </w:pPr>
      <w:rPr>
        <w:rFonts w:hint="default"/>
      </w:rPr>
    </w:lvl>
    <w:lvl w:ilvl="8" w:tplc="472824CE">
      <w:start w:val="1"/>
      <w:numFmt w:val="bullet"/>
      <w:lvlText w:val="•"/>
      <w:lvlJc w:val="left"/>
      <w:pPr>
        <w:ind w:left="7771" w:hanging="22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18"/>
    <w:rsid w:val="000010E3"/>
    <w:rsid w:val="00070ED5"/>
    <w:rsid w:val="00071294"/>
    <w:rsid w:val="00073CF4"/>
    <w:rsid w:val="00073F06"/>
    <w:rsid w:val="00142CE0"/>
    <w:rsid w:val="001725A2"/>
    <w:rsid w:val="001E417F"/>
    <w:rsid w:val="001F3F81"/>
    <w:rsid w:val="002716F6"/>
    <w:rsid w:val="002C5094"/>
    <w:rsid w:val="002E62D0"/>
    <w:rsid w:val="00327A0E"/>
    <w:rsid w:val="00332EBB"/>
    <w:rsid w:val="0037139A"/>
    <w:rsid w:val="00397DF6"/>
    <w:rsid w:val="003B2013"/>
    <w:rsid w:val="003D126A"/>
    <w:rsid w:val="003E3F8B"/>
    <w:rsid w:val="00436526"/>
    <w:rsid w:val="00440DEC"/>
    <w:rsid w:val="00507D18"/>
    <w:rsid w:val="005243AA"/>
    <w:rsid w:val="00572505"/>
    <w:rsid w:val="005C3643"/>
    <w:rsid w:val="005F345F"/>
    <w:rsid w:val="006B228A"/>
    <w:rsid w:val="006F6BC1"/>
    <w:rsid w:val="00712304"/>
    <w:rsid w:val="00714379"/>
    <w:rsid w:val="0071522F"/>
    <w:rsid w:val="007218D4"/>
    <w:rsid w:val="00747FE3"/>
    <w:rsid w:val="00760F3F"/>
    <w:rsid w:val="007761C9"/>
    <w:rsid w:val="00791165"/>
    <w:rsid w:val="00792612"/>
    <w:rsid w:val="00867534"/>
    <w:rsid w:val="008741CA"/>
    <w:rsid w:val="00876A93"/>
    <w:rsid w:val="008B2920"/>
    <w:rsid w:val="009D77CF"/>
    <w:rsid w:val="009E54FD"/>
    <w:rsid w:val="009F5E3E"/>
    <w:rsid w:val="00A1375B"/>
    <w:rsid w:val="00A50B95"/>
    <w:rsid w:val="00A60D93"/>
    <w:rsid w:val="00AA13A9"/>
    <w:rsid w:val="00AE252C"/>
    <w:rsid w:val="00B67B0F"/>
    <w:rsid w:val="00B92352"/>
    <w:rsid w:val="00B94670"/>
    <w:rsid w:val="00BE3685"/>
    <w:rsid w:val="00C05F14"/>
    <w:rsid w:val="00CB095B"/>
    <w:rsid w:val="00DB7579"/>
    <w:rsid w:val="00DF00E8"/>
    <w:rsid w:val="00DF0268"/>
    <w:rsid w:val="00E26F31"/>
    <w:rsid w:val="00E37EC9"/>
    <w:rsid w:val="00EB7BA8"/>
    <w:rsid w:val="00F01E62"/>
    <w:rsid w:val="00F02460"/>
    <w:rsid w:val="00F1516D"/>
    <w:rsid w:val="00F6363A"/>
    <w:rsid w:val="00F979D7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ED38E0-429F-43FE-B93B-C3CD2C14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7D18"/>
    <w:pPr>
      <w:widowControl w:val="0"/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D1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07D18"/>
    <w:pPr>
      <w:ind w:left="191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07D18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0010E3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D1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A60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D93"/>
  </w:style>
  <w:style w:type="paragraph" w:styleId="Rodap">
    <w:name w:val="footer"/>
    <w:basedOn w:val="Normal"/>
    <w:link w:val="RodapChar"/>
    <w:uiPriority w:val="99"/>
    <w:unhideWhenUsed/>
    <w:rsid w:val="00A60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8.987-1995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D7CE-A21E-4549-9490-49C1D9C4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1897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</dc:creator>
  <cp:keywords/>
  <dc:description/>
  <cp:lastModifiedBy>FCA</cp:lastModifiedBy>
  <cp:revision>10</cp:revision>
  <dcterms:created xsi:type="dcterms:W3CDTF">2020-10-07T21:49:00Z</dcterms:created>
  <dcterms:modified xsi:type="dcterms:W3CDTF">2020-10-08T19:27:00Z</dcterms:modified>
</cp:coreProperties>
</file>